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CE" w:rsidRPr="002F3A84" w:rsidRDefault="0050492F" w:rsidP="002F3A84">
      <w:pPr>
        <w:rPr>
          <w:rFonts w:ascii="Times New Roman" w:hAnsi="Times New Roman"/>
          <w:sz w:val="20"/>
          <w:szCs w:val="20"/>
        </w:rPr>
        <w:sectPr w:rsidR="00A71FCE" w:rsidRPr="002F3A84" w:rsidSect="002F3A84">
          <w:headerReference w:type="default" r:id="rId9"/>
          <w:footerReference w:type="default" r:id="rId10"/>
          <w:pgSz w:w="11907" w:h="16839" w:code="9"/>
          <w:pgMar w:top="1440" w:right="1440" w:bottom="1440" w:left="1440" w:header="144" w:footer="288" w:gutter="0"/>
          <w:cols w:space="720"/>
          <w:docGrid w:linePitch="360"/>
        </w:sectPr>
      </w:pPr>
      <w:bookmarkStart w:id="0" w:name="_GoBack"/>
      <w:bookmarkEnd w:id="0"/>
      <w:r w:rsidRPr="0050492F">
        <w:rPr>
          <w:noProof/>
          <w:szCs w:val="20"/>
          <w:lang w:val="en-MY" w:eastAsia="en-MY" w:bidi="ar-SA"/>
        </w:rPr>
        <w:drawing>
          <wp:inline distT="0" distB="0" distL="0" distR="0">
            <wp:extent cx="5629275" cy="80295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29275" cy="8029575"/>
                    </a:xfrm>
                    <a:prstGeom prst="rect">
                      <a:avLst/>
                    </a:prstGeom>
                    <a:noFill/>
                    <a:ln w="9525">
                      <a:noFill/>
                      <a:miter lim="800000"/>
                      <a:headEnd/>
                      <a:tailEnd/>
                    </a:ln>
                  </pic:spPr>
                </pic:pic>
              </a:graphicData>
            </a:graphic>
          </wp:inline>
        </w:drawing>
      </w:r>
    </w:p>
    <w:p w:rsidR="00690D4B" w:rsidRDefault="00690D4B" w:rsidP="00644002">
      <w:pPr>
        <w:ind w:left="180"/>
        <w:rPr>
          <w:rFonts w:ascii="Times New Roman" w:hAnsi="Times New Roman"/>
          <w:sz w:val="20"/>
          <w:szCs w:val="20"/>
        </w:rPr>
      </w:pPr>
    </w:p>
    <w:p w:rsidR="00A71FCE" w:rsidRPr="00644002" w:rsidRDefault="0050492F" w:rsidP="00644002">
      <w:pPr>
        <w:ind w:left="180"/>
        <w:rPr>
          <w:rFonts w:ascii="Times New Roman" w:hAnsi="Times New Roman"/>
          <w:sz w:val="20"/>
          <w:szCs w:val="20"/>
        </w:rPr>
        <w:sectPr w:rsidR="00A71FCE" w:rsidRPr="00644002" w:rsidSect="00C3146F">
          <w:pgSz w:w="11907" w:h="16839" w:code="9"/>
          <w:pgMar w:top="117" w:right="1080" w:bottom="630" w:left="1440" w:header="144" w:footer="288" w:gutter="0"/>
          <w:cols w:space="720"/>
          <w:docGrid w:linePitch="360"/>
        </w:sectPr>
      </w:pPr>
      <w:r w:rsidRPr="0050492F">
        <w:rPr>
          <w:noProof/>
          <w:szCs w:val="20"/>
          <w:lang w:val="en-MY" w:eastAsia="en-MY" w:bidi="ar-SA"/>
        </w:rPr>
        <w:drawing>
          <wp:inline distT="0" distB="0" distL="0" distR="0">
            <wp:extent cx="5324475" cy="782002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324475" cy="7820025"/>
                    </a:xfrm>
                    <a:prstGeom prst="rect">
                      <a:avLst/>
                    </a:prstGeom>
                    <a:noFill/>
                    <a:ln w="9525">
                      <a:noFill/>
                      <a:miter lim="800000"/>
                      <a:headEnd/>
                      <a:tailEnd/>
                    </a:ln>
                  </pic:spPr>
                </pic:pic>
              </a:graphicData>
            </a:graphic>
          </wp:inline>
        </w:drawing>
      </w:r>
    </w:p>
    <w:p w:rsidR="00D7475A" w:rsidRDefault="00D7475A" w:rsidP="00644002">
      <w:pPr>
        <w:ind w:left="180"/>
        <w:rPr>
          <w:rFonts w:ascii="Times New Roman" w:hAnsi="Times New Roman"/>
          <w:sz w:val="20"/>
          <w:szCs w:val="20"/>
        </w:rPr>
      </w:pPr>
    </w:p>
    <w:p w:rsidR="00D7475A" w:rsidRDefault="00D7475A" w:rsidP="00644002">
      <w:pPr>
        <w:ind w:left="180"/>
        <w:rPr>
          <w:rFonts w:ascii="Times New Roman" w:hAnsi="Times New Roman"/>
          <w:sz w:val="20"/>
          <w:szCs w:val="20"/>
        </w:rPr>
      </w:pPr>
    </w:p>
    <w:p w:rsidR="00A71FCE" w:rsidRDefault="00A71FCE" w:rsidP="00644002">
      <w:pPr>
        <w:ind w:left="180"/>
        <w:rPr>
          <w:rFonts w:ascii="Times New Roman" w:hAnsi="Times New Roman"/>
          <w:sz w:val="20"/>
          <w:szCs w:val="20"/>
        </w:rPr>
      </w:pPr>
    </w:p>
    <w:p w:rsidR="00A71FCE" w:rsidRPr="00644002" w:rsidRDefault="00A02B0B" w:rsidP="00644002">
      <w:pPr>
        <w:ind w:left="180"/>
        <w:rPr>
          <w:rFonts w:ascii="Times New Roman" w:hAnsi="Times New Roman"/>
          <w:sz w:val="20"/>
          <w:szCs w:val="20"/>
        </w:rPr>
        <w:sectPr w:rsidR="00A71FCE" w:rsidRPr="00644002" w:rsidSect="00B4027E">
          <w:pgSz w:w="16839" w:h="11907" w:orient="landscape" w:code="9"/>
          <w:pgMar w:top="1440" w:right="1080" w:bottom="1080" w:left="720" w:header="720" w:footer="720" w:gutter="0"/>
          <w:cols w:space="720"/>
          <w:docGrid w:linePitch="360"/>
        </w:sectPr>
      </w:pPr>
      <w:r w:rsidRPr="00A02B0B">
        <w:rPr>
          <w:noProof/>
          <w:szCs w:val="20"/>
          <w:lang w:val="en-MY" w:eastAsia="en-MY" w:bidi="ar-SA"/>
        </w:rPr>
        <w:drawing>
          <wp:inline distT="0" distB="0" distL="0" distR="0">
            <wp:extent cx="8963025" cy="4314825"/>
            <wp:effectExtent l="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963025" cy="4314825"/>
                    </a:xfrm>
                    <a:prstGeom prst="rect">
                      <a:avLst/>
                    </a:prstGeom>
                    <a:noFill/>
                    <a:ln w="9525">
                      <a:noFill/>
                      <a:miter lim="800000"/>
                      <a:headEnd/>
                      <a:tailEnd/>
                    </a:ln>
                  </pic:spPr>
                </pic:pic>
              </a:graphicData>
            </a:graphic>
          </wp:inline>
        </w:drawing>
      </w:r>
    </w:p>
    <w:p w:rsidR="00790F92" w:rsidRPr="00644002" w:rsidRDefault="00790F92" w:rsidP="00644002">
      <w:pPr>
        <w:ind w:left="180"/>
        <w:rPr>
          <w:rFonts w:ascii="Times New Roman" w:hAnsi="Times New Roman"/>
          <w:sz w:val="20"/>
          <w:szCs w:val="20"/>
        </w:rPr>
      </w:pPr>
    </w:p>
    <w:p w:rsidR="00A71FCE" w:rsidRDefault="00A71FCE" w:rsidP="001527B1">
      <w:pPr>
        <w:rPr>
          <w:rFonts w:ascii="Times New Roman" w:hAnsi="Times New Roman"/>
          <w:sz w:val="20"/>
          <w:szCs w:val="20"/>
        </w:rPr>
      </w:pPr>
      <w:r w:rsidRPr="00A71FCE">
        <w:rPr>
          <w:noProof/>
          <w:szCs w:val="20"/>
          <w:lang w:val="en-MY" w:eastAsia="en-MY" w:bidi="ar-SA"/>
        </w:rPr>
        <w:drawing>
          <wp:inline distT="0" distB="0" distL="0" distR="0">
            <wp:extent cx="8569960" cy="4211955"/>
            <wp:effectExtent l="0" t="0" r="254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srcRect/>
                    <a:stretch>
                      <a:fillRect/>
                    </a:stretch>
                  </pic:blipFill>
                  <pic:spPr bwMode="auto">
                    <a:xfrm>
                      <a:off x="0" y="0"/>
                      <a:ext cx="8569960" cy="4211955"/>
                    </a:xfrm>
                    <a:prstGeom prst="rect">
                      <a:avLst/>
                    </a:prstGeom>
                    <a:noFill/>
                    <a:ln w="9525">
                      <a:noFill/>
                      <a:miter lim="800000"/>
                      <a:headEnd/>
                      <a:tailEnd/>
                    </a:ln>
                  </pic:spPr>
                </pic:pic>
              </a:graphicData>
            </a:graphic>
          </wp:inline>
        </w:drawing>
      </w:r>
    </w:p>
    <w:p w:rsidR="00A71FCE" w:rsidRDefault="00A71FCE" w:rsidP="001527B1">
      <w:pPr>
        <w:rPr>
          <w:rFonts w:ascii="Times New Roman" w:hAnsi="Times New Roman"/>
          <w:sz w:val="20"/>
          <w:szCs w:val="20"/>
        </w:rPr>
      </w:pPr>
    </w:p>
    <w:p w:rsidR="00A71FCE" w:rsidRDefault="00A71FCE" w:rsidP="001527B1">
      <w:pPr>
        <w:rPr>
          <w:rFonts w:ascii="Times New Roman" w:hAnsi="Times New Roman"/>
          <w:sz w:val="20"/>
          <w:szCs w:val="20"/>
        </w:rPr>
      </w:pPr>
    </w:p>
    <w:p w:rsidR="00A71FCE" w:rsidRPr="00644002" w:rsidRDefault="00A71FCE" w:rsidP="001527B1">
      <w:pPr>
        <w:rPr>
          <w:rFonts w:ascii="Times New Roman" w:hAnsi="Times New Roman"/>
          <w:sz w:val="20"/>
          <w:szCs w:val="20"/>
        </w:rPr>
        <w:sectPr w:rsidR="00A71FCE" w:rsidRPr="00644002" w:rsidSect="00193282">
          <w:pgSz w:w="16839" w:h="11907" w:orient="landscape" w:code="9"/>
          <w:pgMar w:top="450" w:right="450" w:bottom="720" w:left="720" w:header="720" w:footer="720" w:gutter="0"/>
          <w:cols w:space="720"/>
          <w:docGrid w:linePitch="360"/>
        </w:sectPr>
      </w:pPr>
    </w:p>
    <w:p w:rsidR="00A71FCE" w:rsidRDefault="0050492F" w:rsidP="0072734F">
      <w:pPr>
        <w:spacing w:after="0"/>
        <w:jc w:val="center"/>
        <w:rPr>
          <w:rFonts w:ascii="Times New Roman" w:hAnsi="Times New Roman"/>
          <w:b/>
          <w:bCs/>
          <w:sz w:val="20"/>
          <w:szCs w:val="20"/>
        </w:rPr>
        <w:sectPr w:rsidR="00A71FCE" w:rsidSect="00A92BD8">
          <w:headerReference w:type="default" r:id="rId15"/>
          <w:pgSz w:w="12240" w:h="15840"/>
          <w:pgMar w:top="426" w:right="1260" w:bottom="284" w:left="907" w:header="720" w:footer="720" w:gutter="0"/>
          <w:cols w:space="720"/>
          <w:docGrid w:linePitch="360"/>
        </w:sectPr>
      </w:pPr>
      <w:r w:rsidRPr="0050492F">
        <w:rPr>
          <w:noProof/>
          <w:szCs w:val="20"/>
          <w:lang w:val="en-MY" w:eastAsia="en-MY" w:bidi="ar-SA"/>
        </w:rPr>
        <w:lastRenderedPageBreak/>
        <w:drawing>
          <wp:inline distT="0" distB="0" distL="0" distR="0">
            <wp:extent cx="5629275" cy="823912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629275" cy="8239125"/>
                    </a:xfrm>
                    <a:prstGeom prst="rect">
                      <a:avLst/>
                    </a:prstGeom>
                    <a:noFill/>
                    <a:ln w="9525">
                      <a:noFill/>
                      <a:miter lim="800000"/>
                      <a:headEnd/>
                      <a:tailEnd/>
                    </a:ln>
                  </pic:spPr>
                </pic:pic>
              </a:graphicData>
            </a:graphic>
          </wp:inline>
        </w:drawing>
      </w:r>
    </w:p>
    <w:p w:rsidR="00652F79" w:rsidRDefault="00652F79" w:rsidP="002F3A84">
      <w:pPr>
        <w:spacing w:after="0"/>
        <w:outlineLvl w:val="0"/>
        <w:rPr>
          <w:rFonts w:ascii="Times New Roman" w:hAnsi="Times New Roman"/>
          <w:b/>
          <w:bCs/>
          <w:sz w:val="20"/>
          <w:szCs w:val="20"/>
          <w:u w:val="single"/>
        </w:rPr>
      </w:pPr>
    </w:p>
    <w:p w:rsidR="00E4586B" w:rsidRPr="00644002" w:rsidRDefault="00E4586B" w:rsidP="002F3A84">
      <w:pPr>
        <w:spacing w:after="0"/>
        <w:outlineLvl w:val="0"/>
        <w:rPr>
          <w:rFonts w:ascii="Times New Roman" w:hAnsi="Times New Roman"/>
          <w:b/>
          <w:bCs/>
          <w:sz w:val="20"/>
          <w:szCs w:val="20"/>
          <w:u w:val="single"/>
        </w:rPr>
      </w:pPr>
      <w:r w:rsidRPr="00644002">
        <w:rPr>
          <w:rFonts w:ascii="Times New Roman" w:hAnsi="Times New Roman"/>
          <w:b/>
          <w:bCs/>
          <w:sz w:val="20"/>
          <w:szCs w:val="20"/>
          <w:u w:val="single"/>
        </w:rPr>
        <w:t>NOTES TO THE INTERIM FINANCIAL REPORT</w:t>
      </w:r>
    </w:p>
    <w:p w:rsidR="00E4586B" w:rsidRPr="00644002" w:rsidRDefault="00E4586B" w:rsidP="00644002">
      <w:pPr>
        <w:spacing w:after="0"/>
        <w:ind w:left="540"/>
        <w:rPr>
          <w:rFonts w:ascii="Times New Roman" w:hAnsi="Times New Roman"/>
          <w:b/>
          <w:bCs/>
          <w:sz w:val="20"/>
          <w:szCs w:val="20"/>
        </w:rPr>
      </w:pPr>
    </w:p>
    <w:p w:rsidR="006C5FC1" w:rsidRPr="00644002" w:rsidRDefault="006C5FC1" w:rsidP="006C5FC1">
      <w:pPr>
        <w:tabs>
          <w:tab w:val="left" w:pos="720"/>
          <w:tab w:val="left" w:pos="990"/>
        </w:tabs>
        <w:spacing w:after="0"/>
        <w:rPr>
          <w:rFonts w:ascii="Times New Roman" w:hAnsi="Times New Roman"/>
          <w:b/>
          <w:bCs/>
          <w:sz w:val="20"/>
          <w:szCs w:val="20"/>
        </w:rPr>
      </w:pPr>
      <w:r w:rsidRPr="00644002">
        <w:rPr>
          <w:rFonts w:ascii="Times New Roman" w:hAnsi="Times New Roman"/>
          <w:b/>
          <w:bCs/>
          <w:sz w:val="20"/>
          <w:szCs w:val="20"/>
        </w:rPr>
        <w:t>A1)</w:t>
      </w:r>
      <w:r>
        <w:rPr>
          <w:rFonts w:ascii="Times New Roman" w:hAnsi="Times New Roman"/>
          <w:b/>
          <w:bCs/>
          <w:sz w:val="20"/>
          <w:szCs w:val="20"/>
        </w:rPr>
        <w:tab/>
      </w:r>
      <w:r w:rsidRPr="00644002">
        <w:rPr>
          <w:rFonts w:ascii="Times New Roman" w:hAnsi="Times New Roman"/>
          <w:b/>
          <w:bCs/>
          <w:sz w:val="20"/>
          <w:szCs w:val="20"/>
        </w:rPr>
        <w:t>Basis of preparation</w:t>
      </w:r>
    </w:p>
    <w:p w:rsidR="006C5FC1" w:rsidRPr="00644002" w:rsidRDefault="006C5FC1" w:rsidP="006C5FC1">
      <w:pPr>
        <w:spacing w:after="0"/>
        <w:ind w:left="540"/>
        <w:rPr>
          <w:rFonts w:ascii="Times New Roman" w:hAnsi="Times New Roman"/>
          <w:sz w:val="20"/>
          <w:szCs w:val="20"/>
        </w:rPr>
      </w:pPr>
    </w:p>
    <w:p w:rsidR="006C5FC1" w:rsidRDefault="006C5FC1" w:rsidP="006C5FC1">
      <w:pPr>
        <w:tabs>
          <w:tab w:val="left" w:pos="720"/>
          <w:tab w:val="left" w:pos="1080"/>
        </w:tabs>
        <w:spacing w:after="0"/>
        <w:ind w:left="720"/>
        <w:jc w:val="both"/>
        <w:rPr>
          <w:rFonts w:ascii="Times New Roman" w:hAnsi="Times New Roman"/>
          <w:iCs/>
          <w:sz w:val="20"/>
          <w:szCs w:val="20"/>
        </w:rPr>
      </w:pPr>
      <w:r>
        <w:rPr>
          <w:rFonts w:ascii="Times New Roman" w:hAnsi="Times New Roman"/>
          <w:sz w:val="20"/>
          <w:szCs w:val="20"/>
        </w:rPr>
        <w:t xml:space="preserve">The interim financial report is unaudited and has been prepared in accordance with the applicable disclosure provisions of the </w:t>
      </w:r>
      <w:r w:rsidRPr="00644002">
        <w:rPr>
          <w:rFonts w:ascii="Times New Roman" w:hAnsi="Times New Roman"/>
          <w:sz w:val="20"/>
          <w:szCs w:val="20"/>
        </w:rPr>
        <w:t xml:space="preserve">Listing Requirements of the Bursa Malaysia Securities Berhad and MFRS 134, </w:t>
      </w:r>
      <w:r w:rsidRPr="00644002">
        <w:rPr>
          <w:rFonts w:ascii="Times New Roman" w:hAnsi="Times New Roman"/>
          <w:i/>
          <w:iCs/>
          <w:sz w:val="20"/>
          <w:szCs w:val="20"/>
        </w:rPr>
        <w:t xml:space="preserve">Interim Financial Reporting </w:t>
      </w:r>
      <w:r w:rsidRPr="00644002">
        <w:rPr>
          <w:rFonts w:ascii="Times New Roman" w:hAnsi="Times New Roman"/>
          <w:iCs/>
          <w:sz w:val="20"/>
          <w:szCs w:val="20"/>
        </w:rPr>
        <w:t xml:space="preserve">in Malaysia and with IAS 34, </w:t>
      </w:r>
      <w:r w:rsidRPr="00644002">
        <w:rPr>
          <w:rFonts w:ascii="Times New Roman" w:hAnsi="Times New Roman"/>
          <w:i/>
          <w:iCs/>
          <w:sz w:val="20"/>
          <w:szCs w:val="20"/>
        </w:rPr>
        <w:t>Interim Financial Reporting</w:t>
      </w:r>
      <w:r w:rsidRPr="00644002">
        <w:rPr>
          <w:rFonts w:ascii="Times New Roman" w:hAnsi="Times New Roman"/>
          <w:iCs/>
          <w:sz w:val="20"/>
          <w:szCs w:val="20"/>
        </w:rPr>
        <w:t xml:space="preserve">. </w:t>
      </w:r>
    </w:p>
    <w:p w:rsidR="006C5FC1" w:rsidRDefault="006C5FC1" w:rsidP="006C5FC1">
      <w:pPr>
        <w:tabs>
          <w:tab w:val="left" w:pos="720"/>
          <w:tab w:val="left" w:pos="1080"/>
        </w:tabs>
        <w:spacing w:after="0"/>
        <w:jc w:val="both"/>
        <w:rPr>
          <w:rFonts w:ascii="Times New Roman" w:hAnsi="Times New Roman"/>
          <w:iCs/>
          <w:sz w:val="20"/>
          <w:szCs w:val="20"/>
        </w:rPr>
      </w:pPr>
    </w:p>
    <w:p w:rsidR="006C5FC1" w:rsidRPr="006B36FE" w:rsidRDefault="006C5FC1" w:rsidP="006C5FC1">
      <w:pPr>
        <w:tabs>
          <w:tab w:val="left" w:pos="720"/>
          <w:tab w:val="left" w:pos="1080"/>
        </w:tabs>
        <w:spacing w:after="0"/>
        <w:jc w:val="both"/>
        <w:rPr>
          <w:rFonts w:ascii="Times New Roman" w:hAnsi="Times New Roman"/>
          <w:b/>
          <w:iCs/>
          <w:sz w:val="20"/>
          <w:szCs w:val="20"/>
        </w:rPr>
      </w:pPr>
      <w:r w:rsidRPr="006B36FE">
        <w:rPr>
          <w:rFonts w:ascii="Times New Roman" w:hAnsi="Times New Roman"/>
          <w:b/>
          <w:iCs/>
          <w:sz w:val="20"/>
          <w:szCs w:val="20"/>
        </w:rPr>
        <w:t xml:space="preserve">A2) </w:t>
      </w:r>
      <w:r w:rsidRPr="006B36FE">
        <w:rPr>
          <w:rFonts w:ascii="Times New Roman" w:hAnsi="Times New Roman"/>
          <w:b/>
          <w:iCs/>
          <w:sz w:val="20"/>
          <w:szCs w:val="20"/>
        </w:rPr>
        <w:tab/>
        <w:t>Changes in Accounting Policies</w:t>
      </w:r>
    </w:p>
    <w:p w:rsidR="006C5FC1" w:rsidRDefault="006C5FC1" w:rsidP="006C5FC1">
      <w:pPr>
        <w:tabs>
          <w:tab w:val="left" w:pos="720"/>
          <w:tab w:val="left" w:pos="1080"/>
        </w:tabs>
        <w:spacing w:after="0"/>
        <w:ind w:left="720"/>
        <w:jc w:val="both"/>
        <w:rPr>
          <w:rFonts w:ascii="Times New Roman" w:hAnsi="Times New Roman"/>
          <w:iCs/>
          <w:sz w:val="20"/>
          <w:szCs w:val="20"/>
        </w:rPr>
      </w:pPr>
    </w:p>
    <w:p w:rsidR="006C5FC1" w:rsidRDefault="006C5FC1" w:rsidP="006C5FC1">
      <w:pPr>
        <w:tabs>
          <w:tab w:val="left" w:pos="720"/>
          <w:tab w:val="left" w:pos="1080"/>
        </w:tabs>
        <w:spacing w:after="0"/>
        <w:ind w:left="720"/>
        <w:jc w:val="both"/>
        <w:rPr>
          <w:rFonts w:ascii="Times New Roman" w:hAnsi="Times New Roman"/>
          <w:sz w:val="20"/>
          <w:szCs w:val="20"/>
        </w:rPr>
      </w:pPr>
      <w:r w:rsidRPr="00F5506A">
        <w:rPr>
          <w:rFonts w:ascii="Times New Roman" w:hAnsi="Times New Roman"/>
          <w:sz w:val="20"/>
          <w:szCs w:val="20"/>
        </w:rPr>
        <w:t xml:space="preserve">The accounting policies and methods of computation adopted by the Group in this interim financial report are consistent with </w:t>
      </w:r>
      <w:r w:rsidR="009E63C2">
        <w:rPr>
          <w:rFonts w:ascii="Times New Roman" w:hAnsi="Times New Roman"/>
          <w:sz w:val="20"/>
          <w:szCs w:val="20"/>
        </w:rPr>
        <w:t>those adopted in the</w:t>
      </w:r>
      <w:r w:rsidRPr="00F5506A">
        <w:rPr>
          <w:rFonts w:ascii="Times New Roman" w:hAnsi="Times New Roman"/>
          <w:sz w:val="20"/>
          <w:szCs w:val="20"/>
        </w:rPr>
        <w:t xml:space="preserve"> audited financial statements for the financial year ended 31 December 201</w:t>
      </w:r>
      <w:r w:rsidR="009E63C2">
        <w:rPr>
          <w:rFonts w:ascii="Times New Roman" w:hAnsi="Times New Roman"/>
          <w:sz w:val="20"/>
          <w:szCs w:val="20"/>
        </w:rPr>
        <w:t>3</w:t>
      </w:r>
      <w:r>
        <w:rPr>
          <w:rFonts w:ascii="Times New Roman" w:hAnsi="Times New Roman"/>
          <w:sz w:val="20"/>
          <w:szCs w:val="20"/>
        </w:rPr>
        <w:t>.</w:t>
      </w:r>
    </w:p>
    <w:p w:rsidR="006C5FC1" w:rsidRDefault="006C5FC1" w:rsidP="006C5FC1">
      <w:pPr>
        <w:tabs>
          <w:tab w:val="left" w:pos="720"/>
          <w:tab w:val="left" w:pos="1080"/>
        </w:tabs>
        <w:spacing w:after="0"/>
        <w:ind w:left="720"/>
        <w:jc w:val="both"/>
        <w:rPr>
          <w:rFonts w:ascii="Times New Roman" w:hAnsi="Times New Roman"/>
          <w:sz w:val="20"/>
          <w:szCs w:val="20"/>
        </w:rPr>
      </w:pPr>
    </w:p>
    <w:p w:rsidR="006C5FC1" w:rsidRPr="00D90BF7" w:rsidRDefault="00F0303F" w:rsidP="00D90BF7">
      <w:pPr>
        <w:tabs>
          <w:tab w:val="left" w:pos="720"/>
          <w:tab w:val="left" w:pos="1080"/>
        </w:tabs>
        <w:spacing w:after="0"/>
        <w:ind w:left="720"/>
        <w:jc w:val="both"/>
        <w:rPr>
          <w:rFonts w:ascii="Times New Roman" w:hAnsi="Times New Roman"/>
          <w:sz w:val="20"/>
          <w:szCs w:val="20"/>
        </w:rPr>
      </w:pPr>
      <w:r>
        <w:rPr>
          <w:rFonts w:ascii="Times New Roman" w:hAnsi="Times New Roman"/>
          <w:sz w:val="20"/>
          <w:szCs w:val="20"/>
        </w:rPr>
        <w:t>The following MFRSs</w:t>
      </w:r>
      <w:r w:rsidR="000947D4">
        <w:rPr>
          <w:rFonts w:ascii="Times New Roman" w:hAnsi="Times New Roman"/>
          <w:sz w:val="20"/>
          <w:szCs w:val="20"/>
        </w:rPr>
        <w:t xml:space="preserve">, </w:t>
      </w:r>
      <w:r w:rsidR="00E01D34">
        <w:rPr>
          <w:rFonts w:ascii="Times New Roman" w:hAnsi="Times New Roman"/>
          <w:sz w:val="20"/>
          <w:szCs w:val="20"/>
        </w:rPr>
        <w:t>Interpretations and</w:t>
      </w:r>
      <w:r>
        <w:rPr>
          <w:rFonts w:ascii="Times New Roman" w:hAnsi="Times New Roman"/>
          <w:sz w:val="20"/>
          <w:szCs w:val="20"/>
        </w:rPr>
        <w:t xml:space="preserve"> Amendments to MFRSs applicable to the Group have been adopted with effect from 1 January 2014.</w:t>
      </w:r>
    </w:p>
    <w:p w:rsidR="006C5FC1" w:rsidRPr="003D5300" w:rsidRDefault="00F0303F" w:rsidP="006C5FC1">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w:t>
      </w:r>
      <w:r w:rsidR="006C5FC1" w:rsidRPr="003D5300">
        <w:rPr>
          <w:rFonts w:ascii="Times New Roman" w:hAnsi="Times New Roman" w:cs="Times New Roman"/>
          <w:b w:val="0"/>
          <w:bCs w:val="0"/>
          <w:color w:val="auto"/>
          <w:lang w:val="en-MY"/>
        </w:rPr>
        <w:t xml:space="preserve">MFRS 10, </w:t>
      </w:r>
      <w:r>
        <w:rPr>
          <w:rFonts w:ascii="Times New Roman" w:hAnsi="Times New Roman" w:cs="Times New Roman"/>
          <w:b w:val="0"/>
          <w:bCs w:val="0"/>
          <w:i/>
          <w:color w:val="auto"/>
          <w:lang w:val="en-MY"/>
        </w:rPr>
        <w:t>Consolidated Financial Statements: Investments Entities</w:t>
      </w:r>
    </w:p>
    <w:p w:rsidR="006C5FC1" w:rsidRPr="003D5300" w:rsidRDefault="00F0303F" w:rsidP="006C5FC1">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w:t>
      </w:r>
      <w:r w:rsidR="006C5FC1" w:rsidRPr="003D5300">
        <w:rPr>
          <w:rFonts w:ascii="Times New Roman" w:hAnsi="Times New Roman" w:cs="Times New Roman"/>
          <w:b w:val="0"/>
          <w:bCs w:val="0"/>
          <w:color w:val="auto"/>
          <w:lang w:val="en-MY"/>
        </w:rPr>
        <w:t xml:space="preserve">MFRS 12, </w:t>
      </w:r>
      <w:r w:rsidR="006C5FC1" w:rsidRPr="003D5300">
        <w:rPr>
          <w:rFonts w:ascii="Times New Roman" w:hAnsi="Times New Roman" w:cs="Times New Roman"/>
          <w:b w:val="0"/>
          <w:bCs w:val="0"/>
          <w:i/>
          <w:color w:val="auto"/>
          <w:lang w:val="en-MY"/>
        </w:rPr>
        <w:t>Disclosure of Interests in Other Entities</w:t>
      </w:r>
      <w:r>
        <w:rPr>
          <w:rFonts w:ascii="Times New Roman" w:hAnsi="Times New Roman" w:cs="Times New Roman"/>
          <w:b w:val="0"/>
          <w:bCs w:val="0"/>
          <w:i/>
          <w:color w:val="auto"/>
          <w:lang w:val="en-MY"/>
        </w:rPr>
        <w:t>: Investments Entities</w:t>
      </w:r>
    </w:p>
    <w:p w:rsidR="006C5FC1" w:rsidRPr="003D5300" w:rsidRDefault="00F0303F" w:rsidP="006C5FC1">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w:t>
      </w:r>
      <w:r w:rsidR="006C5FC1" w:rsidRPr="003D5300">
        <w:rPr>
          <w:rFonts w:ascii="Times New Roman" w:hAnsi="Times New Roman" w:cs="Times New Roman"/>
          <w:b w:val="0"/>
          <w:bCs w:val="0"/>
          <w:color w:val="auto"/>
          <w:lang w:val="en-MY"/>
        </w:rPr>
        <w:t xml:space="preserve">MFRS 127, </w:t>
      </w:r>
      <w:r w:rsidR="006C5FC1" w:rsidRPr="003D5300">
        <w:rPr>
          <w:rFonts w:ascii="Times New Roman" w:hAnsi="Times New Roman" w:cs="Times New Roman"/>
          <w:b w:val="0"/>
          <w:bCs w:val="0"/>
          <w:i/>
          <w:color w:val="auto"/>
          <w:lang w:val="en-MY"/>
        </w:rPr>
        <w:t>Separate Financial Statements</w:t>
      </w:r>
      <w:r w:rsidR="006C5FC1" w:rsidRPr="003D5300">
        <w:rPr>
          <w:rFonts w:ascii="Times New Roman" w:hAnsi="Times New Roman" w:cs="Times New Roman"/>
          <w:b w:val="0"/>
          <w:bCs w:val="0"/>
          <w:color w:val="auto"/>
          <w:lang w:val="en-MY"/>
        </w:rPr>
        <w:t xml:space="preserve"> (2011)</w:t>
      </w:r>
      <w:r>
        <w:rPr>
          <w:rFonts w:ascii="Times New Roman" w:hAnsi="Times New Roman" w:cs="Times New Roman"/>
          <w:b w:val="0"/>
          <w:bCs w:val="0"/>
          <w:color w:val="auto"/>
          <w:lang w:val="en-MY"/>
        </w:rPr>
        <w:t xml:space="preserve"> : </w:t>
      </w:r>
      <w:r>
        <w:rPr>
          <w:rFonts w:ascii="Times New Roman" w:hAnsi="Times New Roman" w:cs="Times New Roman"/>
          <w:b w:val="0"/>
          <w:bCs w:val="0"/>
          <w:i/>
          <w:color w:val="auto"/>
          <w:lang w:val="en-MY"/>
        </w:rPr>
        <w:t>Investments Entities</w:t>
      </w:r>
    </w:p>
    <w:p w:rsidR="006C5FC1" w:rsidRPr="003D5300" w:rsidRDefault="006C5FC1" w:rsidP="006C5FC1">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sidRPr="003D5300">
        <w:rPr>
          <w:rFonts w:ascii="Times New Roman" w:hAnsi="Times New Roman" w:cs="Times New Roman"/>
          <w:b w:val="0"/>
          <w:bCs w:val="0"/>
          <w:color w:val="auto"/>
          <w:lang w:val="en-MY"/>
        </w:rPr>
        <w:t xml:space="preserve">Amendments to MFRS 132, </w:t>
      </w:r>
      <w:r w:rsidRPr="003D5300">
        <w:rPr>
          <w:rFonts w:ascii="Times New Roman" w:hAnsi="Times New Roman" w:cs="Times New Roman"/>
          <w:b w:val="0"/>
          <w:bCs w:val="0"/>
          <w:i/>
          <w:color w:val="auto"/>
          <w:lang w:val="en-MY"/>
        </w:rPr>
        <w:t>Financial</w:t>
      </w:r>
      <w:r w:rsidR="00F0303F">
        <w:rPr>
          <w:rFonts w:ascii="Times New Roman" w:hAnsi="Times New Roman" w:cs="Times New Roman"/>
          <w:b w:val="0"/>
          <w:bCs w:val="0"/>
          <w:i/>
          <w:color w:val="auto"/>
          <w:lang w:val="en-MY"/>
        </w:rPr>
        <w:t xml:space="preserve"> Instruments: Presentation – Offsetting Financial Assets and Financial Liabilities</w:t>
      </w:r>
    </w:p>
    <w:p w:rsidR="006C5FC1" w:rsidRDefault="006C5FC1" w:rsidP="00F0303F">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sidRPr="00F0303F">
        <w:rPr>
          <w:rFonts w:ascii="Times New Roman" w:hAnsi="Times New Roman" w:cs="Times New Roman"/>
          <w:b w:val="0"/>
          <w:bCs w:val="0"/>
          <w:color w:val="auto"/>
          <w:lang w:val="en-MY"/>
        </w:rPr>
        <w:t xml:space="preserve">Amendments to MFRS </w:t>
      </w:r>
      <w:r w:rsidR="00F0303F" w:rsidRPr="00F0303F">
        <w:rPr>
          <w:rFonts w:ascii="Times New Roman" w:hAnsi="Times New Roman" w:cs="Times New Roman"/>
          <w:b w:val="0"/>
          <w:bCs w:val="0"/>
          <w:color w:val="auto"/>
          <w:lang w:val="en-MY"/>
        </w:rPr>
        <w:t xml:space="preserve">136, </w:t>
      </w:r>
      <w:r w:rsidR="00F0303F" w:rsidRPr="00F0303F">
        <w:rPr>
          <w:rFonts w:ascii="Times New Roman" w:hAnsi="Times New Roman" w:cs="Times New Roman"/>
          <w:b w:val="0"/>
          <w:bCs w:val="0"/>
          <w:i/>
          <w:color w:val="auto"/>
          <w:lang w:val="en-MY"/>
        </w:rPr>
        <w:t>Impairment of Assets – Recoverable Amount disclosure for Non-Financial Assets.</w:t>
      </w:r>
    </w:p>
    <w:p w:rsidR="009E63C2" w:rsidRPr="008A1AFC" w:rsidRDefault="009E63C2" w:rsidP="00F0303F">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sidRPr="00F0303F">
        <w:rPr>
          <w:rFonts w:ascii="Times New Roman" w:hAnsi="Times New Roman" w:cs="Times New Roman"/>
          <w:b w:val="0"/>
          <w:bCs w:val="0"/>
          <w:color w:val="auto"/>
          <w:lang w:val="en-MY"/>
        </w:rPr>
        <w:t>Amendments to MFRS 13</w:t>
      </w:r>
      <w:r>
        <w:rPr>
          <w:rFonts w:ascii="Times New Roman" w:hAnsi="Times New Roman" w:cs="Times New Roman"/>
          <w:b w:val="0"/>
          <w:bCs w:val="0"/>
          <w:color w:val="auto"/>
          <w:lang w:val="en-MY"/>
        </w:rPr>
        <w:t xml:space="preserve">9, </w:t>
      </w:r>
      <w:r w:rsidRPr="008A1AFC">
        <w:rPr>
          <w:rFonts w:ascii="Times New Roman" w:hAnsi="Times New Roman" w:cs="Times New Roman"/>
          <w:b w:val="0"/>
          <w:bCs w:val="0"/>
          <w:i/>
          <w:color w:val="auto"/>
          <w:lang w:val="en-MY"/>
        </w:rPr>
        <w:t xml:space="preserve">Financial Instruments : Recognition and Measurement – Novation of Derivative and Continuation of Hedge Accounting </w:t>
      </w:r>
    </w:p>
    <w:p w:rsidR="007C5B19" w:rsidRPr="009E63C2" w:rsidRDefault="007C5B19" w:rsidP="00F0303F">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sidRPr="007C5B19">
        <w:rPr>
          <w:rFonts w:ascii="Times New Roman" w:hAnsi="Times New Roman" w:cs="Times New Roman"/>
          <w:b w:val="0"/>
          <w:bCs w:val="0"/>
          <w:color w:val="auto"/>
          <w:lang w:val="en-MY"/>
        </w:rPr>
        <w:t>IC Interpretation 21</w:t>
      </w:r>
      <w:r>
        <w:rPr>
          <w:rFonts w:ascii="Times New Roman" w:hAnsi="Times New Roman" w:cs="Times New Roman"/>
          <w:b w:val="0"/>
          <w:bCs w:val="0"/>
          <w:i/>
          <w:color w:val="auto"/>
          <w:lang w:val="en-MY"/>
        </w:rPr>
        <w:t>, Levies</w:t>
      </w:r>
    </w:p>
    <w:p w:rsidR="00F0303F" w:rsidRPr="00F0303F" w:rsidRDefault="00F0303F" w:rsidP="00F0303F">
      <w:pPr>
        <w:pStyle w:val="Subhead2"/>
        <w:tabs>
          <w:tab w:val="clear" w:pos="1531"/>
        </w:tabs>
        <w:spacing w:line="240" w:lineRule="atLeast"/>
        <w:ind w:left="1080" w:right="38" w:firstLine="0"/>
        <w:jc w:val="both"/>
        <w:rPr>
          <w:rFonts w:ascii="Times New Roman" w:hAnsi="Times New Roman" w:cs="Times New Roman"/>
          <w:b w:val="0"/>
          <w:bCs w:val="0"/>
          <w:i/>
          <w:color w:val="auto"/>
          <w:lang w:val="en-MY"/>
        </w:rPr>
      </w:pPr>
    </w:p>
    <w:p w:rsidR="006C5FC1" w:rsidRDefault="006C5FC1" w:rsidP="00F0303F">
      <w:pPr>
        <w:tabs>
          <w:tab w:val="left" w:pos="720"/>
          <w:tab w:val="left" w:pos="1080"/>
        </w:tabs>
        <w:spacing w:after="0"/>
        <w:ind w:left="720"/>
        <w:jc w:val="both"/>
        <w:rPr>
          <w:rFonts w:ascii="Times New Roman" w:hAnsi="Times New Roman"/>
          <w:bCs/>
          <w:sz w:val="20"/>
          <w:szCs w:val="20"/>
        </w:rPr>
      </w:pPr>
      <w:r w:rsidRPr="00944D06">
        <w:rPr>
          <w:rFonts w:ascii="Times New Roman" w:hAnsi="Times New Roman"/>
          <w:bCs/>
          <w:sz w:val="20"/>
          <w:szCs w:val="20"/>
        </w:rPr>
        <w:t xml:space="preserve">The adoption of the above </w:t>
      </w:r>
      <w:r w:rsidR="00F0303F">
        <w:rPr>
          <w:rFonts w:ascii="Times New Roman" w:hAnsi="Times New Roman"/>
          <w:bCs/>
          <w:sz w:val="20"/>
          <w:szCs w:val="20"/>
        </w:rPr>
        <w:t xml:space="preserve">standards and amendments did not have any material impact to the current and prior </w:t>
      </w:r>
      <w:r w:rsidR="00E01D34">
        <w:rPr>
          <w:rFonts w:ascii="Times New Roman" w:hAnsi="Times New Roman"/>
          <w:bCs/>
          <w:sz w:val="20"/>
          <w:szCs w:val="20"/>
        </w:rPr>
        <w:t>period’s</w:t>
      </w:r>
      <w:r w:rsidR="00F0303F">
        <w:rPr>
          <w:rFonts w:ascii="Times New Roman" w:hAnsi="Times New Roman"/>
          <w:bCs/>
          <w:sz w:val="20"/>
          <w:szCs w:val="20"/>
        </w:rPr>
        <w:t xml:space="preserve"> financial statements of the Group.</w:t>
      </w:r>
    </w:p>
    <w:p w:rsidR="00F0303F" w:rsidRDefault="00F0303F" w:rsidP="00F0303F">
      <w:pPr>
        <w:tabs>
          <w:tab w:val="left" w:pos="720"/>
          <w:tab w:val="left" w:pos="1080"/>
        </w:tabs>
        <w:spacing w:after="0"/>
        <w:ind w:left="720"/>
        <w:jc w:val="both"/>
        <w:rPr>
          <w:rFonts w:ascii="Times New Roman" w:hAnsi="Times New Roman"/>
          <w:bCs/>
          <w:sz w:val="20"/>
          <w:szCs w:val="20"/>
        </w:rPr>
      </w:pPr>
    </w:p>
    <w:p w:rsidR="00F0303F" w:rsidRDefault="00F0303F" w:rsidP="00F0303F">
      <w:pPr>
        <w:tabs>
          <w:tab w:val="left" w:pos="720"/>
          <w:tab w:val="left" w:pos="1080"/>
        </w:tabs>
        <w:spacing w:after="0"/>
        <w:ind w:left="720"/>
        <w:jc w:val="both"/>
        <w:rPr>
          <w:rFonts w:ascii="Times New Roman" w:hAnsi="Times New Roman"/>
          <w:bCs/>
          <w:sz w:val="20"/>
          <w:szCs w:val="20"/>
        </w:rPr>
      </w:pPr>
      <w:r>
        <w:rPr>
          <w:rFonts w:ascii="Times New Roman" w:hAnsi="Times New Roman"/>
          <w:bCs/>
          <w:sz w:val="20"/>
          <w:szCs w:val="20"/>
        </w:rPr>
        <w:t xml:space="preserve">The following revised MFRSs and Amendments to MFRSs applicable to the </w:t>
      </w:r>
      <w:r w:rsidR="009E63C2">
        <w:rPr>
          <w:rFonts w:ascii="Times New Roman" w:hAnsi="Times New Roman"/>
          <w:bCs/>
          <w:sz w:val="20"/>
          <w:szCs w:val="20"/>
        </w:rPr>
        <w:t>Group have been issued by the MA</w:t>
      </w:r>
      <w:r>
        <w:rPr>
          <w:rFonts w:ascii="Times New Roman" w:hAnsi="Times New Roman"/>
          <w:bCs/>
          <w:sz w:val="20"/>
          <w:szCs w:val="20"/>
        </w:rPr>
        <w:t>SB and are not yet effective for adoption by the Group.</w:t>
      </w:r>
    </w:p>
    <w:p w:rsidR="00F0303F" w:rsidRDefault="00F0303F" w:rsidP="00F0303F">
      <w:pPr>
        <w:tabs>
          <w:tab w:val="left" w:pos="720"/>
          <w:tab w:val="left" w:pos="1080"/>
        </w:tabs>
        <w:spacing w:after="0"/>
        <w:ind w:left="720"/>
        <w:jc w:val="both"/>
        <w:rPr>
          <w:rFonts w:ascii="Times New Roman" w:hAnsi="Times New Roman"/>
          <w:bCs/>
          <w:sz w:val="20"/>
          <w:szCs w:val="20"/>
        </w:rPr>
      </w:pPr>
    </w:p>
    <w:p w:rsidR="001C0BAD" w:rsidRDefault="00F0303F" w:rsidP="00D90BF7">
      <w:pPr>
        <w:tabs>
          <w:tab w:val="left" w:pos="720"/>
          <w:tab w:val="left" w:pos="1080"/>
        </w:tabs>
        <w:spacing w:after="0"/>
        <w:ind w:left="720"/>
        <w:jc w:val="both"/>
        <w:rPr>
          <w:rFonts w:ascii="Times New Roman" w:hAnsi="Times New Roman"/>
          <w:b/>
          <w:bCs/>
          <w:sz w:val="20"/>
          <w:szCs w:val="20"/>
        </w:rPr>
      </w:pPr>
      <w:r w:rsidRPr="00F0303F">
        <w:rPr>
          <w:rFonts w:ascii="Times New Roman" w:hAnsi="Times New Roman"/>
          <w:b/>
          <w:bCs/>
          <w:sz w:val="20"/>
          <w:szCs w:val="20"/>
        </w:rPr>
        <w:t>MFRSs, Interpretations and amendments effective for annual periods beginning on or after 1 July 2014</w:t>
      </w:r>
    </w:p>
    <w:p w:rsidR="001C0BAD" w:rsidRPr="009E63C2" w:rsidRDefault="001C0BAD"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w:t>
      </w:r>
      <w:r>
        <w:rPr>
          <w:rFonts w:ascii="Times New Roman" w:hAnsi="Times New Roman" w:cs="Times New Roman"/>
          <w:b w:val="0"/>
          <w:bCs w:val="0"/>
          <w:color w:val="auto"/>
          <w:lang w:val="en-MY"/>
        </w:rPr>
        <w:t>MFRS 1</w:t>
      </w:r>
      <w:r w:rsidRPr="003D5300">
        <w:rPr>
          <w:rFonts w:ascii="Times New Roman" w:hAnsi="Times New Roman" w:cs="Times New Roman"/>
          <w:b w:val="0"/>
          <w:bCs w:val="0"/>
          <w:color w:val="auto"/>
          <w:lang w:val="en-MY"/>
        </w:rPr>
        <w:t xml:space="preserve">, </w:t>
      </w:r>
      <w:r>
        <w:rPr>
          <w:rFonts w:ascii="Times New Roman" w:hAnsi="Times New Roman" w:cs="Times New Roman"/>
          <w:b w:val="0"/>
          <w:bCs w:val="0"/>
          <w:i/>
          <w:color w:val="auto"/>
          <w:lang w:val="en-MY"/>
        </w:rPr>
        <w:t>First-time Adoption of Malaysia Financial Reporting Standards ( Annual Improvements 2011-2013 Cycle)</w:t>
      </w:r>
    </w:p>
    <w:p w:rsidR="009E63C2" w:rsidRPr="003D5300" w:rsidRDefault="009E63C2"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w:t>
      </w:r>
      <w:r>
        <w:rPr>
          <w:rFonts w:ascii="Times New Roman" w:hAnsi="Times New Roman" w:cs="Times New Roman"/>
          <w:b w:val="0"/>
          <w:bCs w:val="0"/>
          <w:color w:val="auto"/>
          <w:lang w:val="en-MY"/>
        </w:rPr>
        <w:t xml:space="preserve">MFRS 2, </w:t>
      </w:r>
      <w:r w:rsidRPr="009E63C2">
        <w:rPr>
          <w:rFonts w:ascii="Times New Roman" w:hAnsi="Times New Roman" w:cs="Times New Roman"/>
          <w:b w:val="0"/>
          <w:bCs w:val="0"/>
          <w:i/>
          <w:color w:val="auto"/>
          <w:lang w:val="en-MY"/>
        </w:rPr>
        <w:t>Share-based Payment (Annual Improvements 2010-2012 Cycle)</w:t>
      </w:r>
    </w:p>
    <w:p w:rsidR="001C0BAD" w:rsidRPr="003D5300" w:rsidRDefault="001C0BAD"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MFRS </w:t>
      </w:r>
      <w:r>
        <w:rPr>
          <w:rFonts w:ascii="Times New Roman" w:hAnsi="Times New Roman" w:cs="Times New Roman"/>
          <w:b w:val="0"/>
          <w:bCs w:val="0"/>
          <w:color w:val="auto"/>
          <w:lang w:val="en-MY"/>
        </w:rPr>
        <w:t xml:space="preserve">3, </w:t>
      </w:r>
      <w:r w:rsidRPr="001C0BAD">
        <w:rPr>
          <w:rFonts w:ascii="Times New Roman" w:hAnsi="Times New Roman" w:cs="Times New Roman"/>
          <w:b w:val="0"/>
          <w:bCs w:val="0"/>
          <w:i/>
          <w:color w:val="auto"/>
          <w:lang w:val="en-MY"/>
        </w:rPr>
        <w:t>Business Combination (Annual Improvement 2010-2012 Cycle and 2011-2013 Cycle)</w:t>
      </w:r>
    </w:p>
    <w:p w:rsidR="001C0BAD" w:rsidRPr="003D5300" w:rsidRDefault="001C0BAD"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w:t>
      </w:r>
      <w:r>
        <w:rPr>
          <w:rFonts w:ascii="Times New Roman" w:hAnsi="Times New Roman" w:cs="Times New Roman"/>
          <w:b w:val="0"/>
          <w:bCs w:val="0"/>
          <w:color w:val="auto"/>
          <w:lang w:val="en-MY"/>
        </w:rPr>
        <w:t>MFRS 8</w:t>
      </w:r>
      <w:r w:rsidRPr="003D5300">
        <w:rPr>
          <w:rFonts w:ascii="Times New Roman" w:hAnsi="Times New Roman" w:cs="Times New Roman"/>
          <w:b w:val="0"/>
          <w:bCs w:val="0"/>
          <w:color w:val="auto"/>
          <w:lang w:val="en-MY"/>
        </w:rPr>
        <w:t xml:space="preserve">, </w:t>
      </w:r>
      <w:r>
        <w:rPr>
          <w:rFonts w:ascii="Times New Roman" w:hAnsi="Times New Roman" w:cs="Times New Roman"/>
          <w:b w:val="0"/>
          <w:bCs w:val="0"/>
          <w:i/>
          <w:color w:val="auto"/>
          <w:lang w:val="en-MY"/>
        </w:rPr>
        <w:t>Operating Segments (Annual Improvements 2010-2012 Cycle)</w:t>
      </w:r>
    </w:p>
    <w:p w:rsidR="001C0BAD" w:rsidRPr="003D5300" w:rsidRDefault="00D90BF7"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Pr>
          <w:rFonts w:ascii="Times New Roman" w:hAnsi="Times New Roman" w:cs="Times New Roman"/>
          <w:b w:val="0"/>
          <w:bCs w:val="0"/>
          <w:color w:val="auto"/>
          <w:lang w:val="en-MY"/>
        </w:rPr>
        <w:t>Amendments to MFRS 13</w:t>
      </w:r>
      <w:r w:rsidR="001C0BAD" w:rsidRPr="003D5300">
        <w:rPr>
          <w:rFonts w:ascii="Times New Roman" w:hAnsi="Times New Roman" w:cs="Times New Roman"/>
          <w:b w:val="0"/>
          <w:bCs w:val="0"/>
          <w:color w:val="auto"/>
          <w:lang w:val="en-MY"/>
        </w:rPr>
        <w:t xml:space="preserve">, </w:t>
      </w:r>
      <w:r>
        <w:rPr>
          <w:rFonts w:ascii="Times New Roman" w:hAnsi="Times New Roman" w:cs="Times New Roman"/>
          <w:b w:val="0"/>
          <w:bCs w:val="0"/>
          <w:i/>
          <w:color w:val="auto"/>
          <w:lang w:val="en-MY"/>
        </w:rPr>
        <w:t>Fair Value Measurement ( Annual Improvements 2010-2012 Cycle and 2011-2013 Cycle)</w:t>
      </w:r>
    </w:p>
    <w:p w:rsidR="001C0BAD" w:rsidRDefault="00D90BF7"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Pr>
          <w:rFonts w:ascii="Times New Roman" w:hAnsi="Times New Roman" w:cs="Times New Roman"/>
          <w:b w:val="0"/>
          <w:bCs w:val="0"/>
          <w:color w:val="auto"/>
          <w:lang w:val="en-MY"/>
        </w:rPr>
        <w:t>Amendments to MFRS 116</w:t>
      </w:r>
      <w:r w:rsidR="001C0BAD" w:rsidRPr="003D5300">
        <w:rPr>
          <w:rFonts w:ascii="Times New Roman" w:hAnsi="Times New Roman" w:cs="Times New Roman"/>
          <w:b w:val="0"/>
          <w:bCs w:val="0"/>
          <w:color w:val="auto"/>
          <w:lang w:val="en-MY"/>
        </w:rPr>
        <w:t xml:space="preserve">, </w:t>
      </w:r>
      <w:r>
        <w:rPr>
          <w:rFonts w:ascii="Times New Roman" w:hAnsi="Times New Roman" w:cs="Times New Roman"/>
          <w:b w:val="0"/>
          <w:bCs w:val="0"/>
          <w:i/>
          <w:color w:val="auto"/>
          <w:lang w:val="en-MY"/>
        </w:rPr>
        <w:t>Property, Plant and Equipment (Annual Improvements 2010-2012 Cycle)</w:t>
      </w:r>
    </w:p>
    <w:p w:rsidR="009E63C2" w:rsidRPr="0008432E" w:rsidRDefault="009E63C2"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Pr>
          <w:rFonts w:ascii="Times New Roman" w:hAnsi="Times New Roman" w:cs="Times New Roman"/>
          <w:b w:val="0"/>
          <w:bCs w:val="0"/>
          <w:color w:val="auto"/>
          <w:lang w:val="en-MY"/>
        </w:rPr>
        <w:t xml:space="preserve">Amendments to MFRS 119, </w:t>
      </w:r>
      <w:r w:rsidRPr="0008432E">
        <w:rPr>
          <w:rFonts w:ascii="Times New Roman" w:hAnsi="Times New Roman" w:cs="Times New Roman"/>
          <w:b w:val="0"/>
          <w:bCs w:val="0"/>
          <w:i/>
          <w:color w:val="auto"/>
          <w:lang w:val="en-MY"/>
        </w:rPr>
        <w:t>Employee Benefits -  Defined Benefit Plans:</w:t>
      </w:r>
      <w:r w:rsidR="0008432E" w:rsidRPr="0008432E">
        <w:rPr>
          <w:rFonts w:ascii="Times New Roman" w:hAnsi="Times New Roman" w:cs="Times New Roman"/>
          <w:b w:val="0"/>
          <w:bCs w:val="0"/>
          <w:i/>
          <w:color w:val="auto"/>
          <w:lang w:val="en-MY"/>
        </w:rPr>
        <w:t xml:space="preserve"> Employee Contributions</w:t>
      </w:r>
    </w:p>
    <w:p w:rsidR="00D90BF7" w:rsidRDefault="00D90BF7" w:rsidP="00D90BF7">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Pr>
          <w:rFonts w:ascii="Times New Roman" w:hAnsi="Times New Roman" w:cs="Times New Roman"/>
          <w:b w:val="0"/>
          <w:bCs w:val="0"/>
          <w:color w:val="auto"/>
          <w:lang w:val="en-MY"/>
        </w:rPr>
        <w:t>Amendments to MFRS 124</w:t>
      </w:r>
      <w:r w:rsidRPr="003D5300">
        <w:rPr>
          <w:rFonts w:ascii="Times New Roman" w:hAnsi="Times New Roman" w:cs="Times New Roman"/>
          <w:b w:val="0"/>
          <w:bCs w:val="0"/>
          <w:color w:val="auto"/>
          <w:lang w:val="en-MY"/>
        </w:rPr>
        <w:t xml:space="preserve">, </w:t>
      </w:r>
      <w:r>
        <w:rPr>
          <w:rFonts w:ascii="Times New Roman" w:hAnsi="Times New Roman" w:cs="Times New Roman"/>
          <w:b w:val="0"/>
          <w:bCs w:val="0"/>
          <w:i/>
          <w:color w:val="auto"/>
          <w:lang w:val="en-MY"/>
        </w:rPr>
        <w:t>Related Party Disclosures ( Annual Improvements 2010-2012 Cycle)</w:t>
      </w:r>
    </w:p>
    <w:p w:rsidR="00D90BF7" w:rsidRPr="00D90BF7" w:rsidRDefault="00D90BF7"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Pr>
          <w:rFonts w:ascii="Times New Roman" w:hAnsi="Times New Roman" w:cs="Times New Roman"/>
          <w:b w:val="0"/>
          <w:bCs w:val="0"/>
          <w:color w:val="auto"/>
          <w:lang w:val="en-MY"/>
        </w:rPr>
        <w:t xml:space="preserve">Amendments to MFRS 138, </w:t>
      </w:r>
      <w:r w:rsidRPr="00D90BF7">
        <w:rPr>
          <w:rFonts w:ascii="Times New Roman" w:hAnsi="Times New Roman" w:cs="Times New Roman"/>
          <w:b w:val="0"/>
          <w:bCs w:val="0"/>
          <w:i/>
          <w:color w:val="auto"/>
          <w:lang w:val="en-MY"/>
        </w:rPr>
        <w:t>Intangible Asset (Annual Improvements 2010-2012 Cycle)</w:t>
      </w:r>
    </w:p>
    <w:p w:rsidR="00D90BF7" w:rsidRPr="00D90BF7" w:rsidRDefault="00D90BF7"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Pr>
          <w:rFonts w:ascii="Times New Roman" w:hAnsi="Times New Roman" w:cs="Times New Roman"/>
          <w:b w:val="0"/>
          <w:bCs w:val="0"/>
          <w:color w:val="auto"/>
          <w:lang w:val="en-MY"/>
        </w:rPr>
        <w:t xml:space="preserve">Amendments to MFRS 140, </w:t>
      </w:r>
      <w:r w:rsidRPr="00D90BF7">
        <w:rPr>
          <w:rFonts w:ascii="Times New Roman" w:hAnsi="Times New Roman" w:cs="Times New Roman"/>
          <w:b w:val="0"/>
          <w:bCs w:val="0"/>
          <w:i/>
          <w:color w:val="auto"/>
          <w:lang w:val="en-MY"/>
        </w:rPr>
        <w:t>Investment Property (Annual Improvements 2011-2013 Cycle)</w:t>
      </w:r>
    </w:p>
    <w:p w:rsidR="0008432E" w:rsidRDefault="0008432E" w:rsidP="006C5FC1">
      <w:pPr>
        <w:tabs>
          <w:tab w:val="left" w:pos="720"/>
          <w:tab w:val="left" w:pos="1080"/>
        </w:tabs>
        <w:spacing w:after="0"/>
        <w:jc w:val="both"/>
        <w:rPr>
          <w:rFonts w:ascii="Times New Roman" w:hAnsi="Times New Roman"/>
          <w:b/>
          <w:iCs/>
          <w:sz w:val="20"/>
          <w:szCs w:val="20"/>
        </w:rPr>
      </w:pPr>
    </w:p>
    <w:p w:rsidR="006C5FC1" w:rsidRPr="00944D06" w:rsidRDefault="006C5FC1" w:rsidP="006C5FC1">
      <w:pPr>
        <w:tabs>
          <w:tab w:val="left" w:pos="720"/>
          <w:tab w:val="left" w:pos="1080"/>
        </w:tabs>
        <w:spacing w:after="0"/>
        <w:jc w:val="both"/>
        <w:rPr>
          <w:rFonts w:ascii="Times New Roman" w:hAnsi="Times New Roman"/>
          <w:b/>
          <w:iCs/>
          <w:sz w:val="20"/>
          <w:szCs w:val="20"/>
        </w:rPr>
      </w:pPr>
      <w:r w:rsidRPr="00944D06">
        <w:rPr>
          <w:rFonts w:ascii="Times New Roman" w:hAnsi="Times New Roman"/>
          <w:b/>
          <w:iCs/>
          <w:sz w:val="20"/>
          <w:szCs w:val="20"/>
        </w:rPr>
        <w:t xml:space="preserve">A2) </w:t>
      </w:r>
      <w:r w:rsidRPr="00944D06">
        <w:rPr>
          <w:rFonts w:ascii="Times New Roman" w:hAnsi="Times New Roman"/>
          <w:b/>
          <w:iCs/>
          <w:sz w:val="20"/>
          <w:szCs w:val="20"/>
        </w:rPr>
        <w:tab/>
        <w:t>Changes in Accounting Policies (continued)</w:t>
      </w:r>
    </w:p>
    <w:p w:rsidR="006C5FC1" w:rsidRPr="00944D06" w:rsidRDefault="006C5FC1" w:rsidP="006C5FC1">
      <w:pPr>
        <w:pStyle w:val="Subhead2"/>
        <w:tabs>
          <w:tab w:val="clear" w:pos="1531"/>
        </w:tabs>
        <w:spacing w:line="240" w:lineRule="atLeast"/>
        <w:ind w:right="38"/>
        <w:jc w:val="both"/>
        <w:rPr>
          <w:rFonts w:ascii="Times New Roman" w:hAnsi="Times New Roman" w:cs="Times New Roman"/>
          <w:b w:val="0"/>
          <w:bCs w:val="0"/>
          <w:color w:val="auto"/>
          <w:lang w:val="en-MY"/>
        </w:rPr>
      </w:pPr>
    </w:p>
    <w:p w:rsidR="0008432E" w:rsidRDefault="0008432E" w:rsidP="0008432E">
      <w:pPr>
        <w:numPr>
          <w:ilvl w:val="0"/>
          <w:numId w:val="13"/>
        </w:numPr>
        <w:tabs>
          <w:tab w:val="left" w:pos="720"/>
          <w:tab w:val="left" w:pos="851"/>
        </w:tabs>
        <w:spacing w:after="0"/>
        <w:ind w:hanging="720"/>
        <w:rPr>
          <w:rFonts w:ascii="Times New Roman" w:hAnsi="Times New Roman"/>
          <w:bCs/>
          <w:sz w:val="20"/>
          <w:szCs w:val="20"/>
        </w:rPr>
      </w:pPr>
      <w:r>
        <w:rPr>
          <w:rFonts w:ascii="Times New Roman" w:hAnsi="Times New Roman"/>
          <w:bCs/>
          <w:sz w:val="20"/>
          <w:szCs w:val="20"/>
        </w:rPr>
        <w:t xml:space="preserve">MFRS 9, </w:t>
      </w:r>
      <w:r w:rsidRPr="0008432E">
        <w:rPr>
          <w:rFonts w:ascii="Times New Roman" w:hAnsi="Times New Roman"/>
          <w:bCs/>
          <w:i/>
          <w:sz w:val="20"/>
          <w:szCs w:val="20"/>
        </w:rPr>
        <w:t>Financial Instruments (2009)</w:t>
      </w:r>
    </w:p>
    <w:p w:rsidR="0008432E" w:rsidRDefault="0008432E" w:rsidP="0008432E">
      <w:pPr>
        <w:numPr>
          <w:ilvl w:val="0"/>
          <w:numId w:val="13"/>
        </w:numPr>
        <w:tabs>
          <w:tab w:val="left" w:pos="720"/>
          <w:tab w:val="left" w:pos="851"/>
        </w:tabs>
        <w:spacing w:after="0"/>
        <w:ind w:hanging="720"/>
        <w:rPr>
          <w:rFonts w:ascii="Times New Roman" w:hAnsi="Times New Roman"/>
          <w:bCs/>
          <w:sz w:val="20"/>
          <w:szCs w:val="20"/>
        </w:rPr>
      </w:pPr>
      <w:r>
        <w:rPr>
          <w:rFonts w:ascii="Times New Roman" w:hAnsi="Times New Roman"/>
          <w:bCs/>
          <w:sz w:val="20"/>
          <w:szCs w:val="20"/>
        </w:rPr>
        <w:t xml:space="preserve">MFRS 9 , </w:t>
      </w:r>
      <w:r w:rsidRPr="0008432E">
        <w:rPr>
          <w:rFonts w:ascii="Times New Roman" w:hAnsi="Times New Roman"/>
          <w:bCs/>
          <w:i/>
          <w:sz w:val="20"/>
          <w:szCs w:val="20"/>
        </w:rPr>
        <w:t>Financial Instruments (2010)</w:t>
      </w:r>
    </w:p>
    <w:p w:rsidR="0008432E" w:rsidRDefault="0008432E" w:rsidP="0008432E">
      <w:pPr>
        <w:numPr>
          <w:ilvl w:val="0"/>
          <w:numId w:val="13"/>
        </w:numPr>
        <w:tabs>
          <w:tab w:val="left" w:pos="720"/>
          <w:tab w:val="left" w:pos="851"/>
        </w:tabs>
        <w:spacing w:after="0"/>
        <w:ind w:hanging="720"/>
        <w:rPr>
          <w:rFonts w:ascii="Times New Roman" w:hAnsi="Times New Roman"/>
          <w:bCs/>
          <w:sz w:val="20"/>
          <w:szCs w:val="20"/>
        </w:rPr>
      </w:pPr>
      <w:r>
        <w:rPr>
          <w:rFonts w:ascii="Times New Roman" w:hAnsi="Times New Roman"/>
          <w:bCs/>
          <w:sz w:val="20"/>
          <w:szCs w:val="20"/>
        </w:rPr>
        <w:t xml:space="preserve">MFRS 9, </w:t>
      </w:r>
      <w:r w:rsidRPr="0008432E">
        <w:rPr>
          <w:rFonts w:ascii="Times New Roman" w:hAnsi="Times New Roman"/>
          <w:bCs/>
          <w:i/>
          <w:sz w:val="20"/>
          <w:szCs w:val="20"/>
        </w:rPr>
        <w:t>Financial Instruments – Hedge Accounting and Amendments to MFRS 9, MFRS 7 and  MFRS 139</w:t>
      </w:r>
    </w:p>
    <w:p w:rsidR="0008432E" w:rsidRPr="0008432E" w:rsidRDefault="0008432E" w:rsidP="0008432E">
      <w:pPr>
        <w:numPr>
          <w:ilvl w:val="0"/>
          <w:numId w:val="13"/>
        </w:numPr>
        <w:tabs>
          <w:tab w:val="left" w:pos="720"/>
          <w:tab w:val="left" w:pos="851"/>
        </w:tabs>
        <w:spacing w:after="0"/>
        <w:ind w:left="1134" w:hanging="425"/>
        <w:rPr>
          <w:rFonts w:ascii="Times New Roman" w:hAnsi="Times New Roman"/>
          <w:bCs/>
          <w:i/>
          <w:sz w:val="20"/>
          <w:szCs w:val="20"/>
        </w:rPr>
      </w:pPr>
      <w:r>
        <w:rPr>
          <w:rFonts w:ascii="Times New Roman" w:hAnsi="Times New Roman"/>
          <w:bCs/>
          <w:sz w:val="20"/>
          <w:szCs w:val="20"/>
        </w:rPr>
        <w:t xml:space="preserve">Amendments to MFRS 7, </w:t>
      </w:r>
      <w:r w:rsidRPr="0008432E">
        <w:rPr>
          <w:rFonts w:ascii="Times New Roman" w:hAnsi="Times New Roman"/>
          <w:bCs/>
          <w:i/>
          <w:sz w:val="20"/>
          <w:szCs w:val="20"/>
        </w:rPr>
        <w:t>Financial Instruments : Disclosure – Mandatory Effective Date of MFRS 9 and Transition Disclosures</w:t>
      </w:r>
    </w:p>
    <w:p w:rsidR="0008432E" w:rsidRPr="00B66A57" w:rsidRDefault="0008432E" w:rsidP="0008432E">
      <w:pPr>
        <w:tabs>
          <w:tab w:val="left" w:pos="720"/>
          <w:tab w:val="left" w:pos="851"/>
        </w:tabs>
        <w:spacing w:after="0"/>
        <w:ind w:left="1429"/>
        <w:rPr>
          <w:rFonts w:ascii="Times New Roman" w:hAnsi="Times New Roman"/>
          <w:bCs/>
          <w:sz w:val="20"/>
          <w:szCs w:val="20"/>
        </w:rPr>
      </w:pPr>
    </w:p>
    <w:p w:rsidR="006C5FC1" w:rsidRPr="00644002" w:rsidRDefault="006C5FC1" w:rsidP="006C5FC1">
      <w:pPr>
        <w:tabs>
          <w:tab w:val="left" w:pos="720"/>
          <w:tab w:val="left" w:pos="990"/>
        </w:tabs>
        <w:spacing w:after="0"/>
        <w:rPr>
          <w:rFonts w:ascii="Times New Roman" w:hAnsi="Times New Roman"/>
          <w:sz w:val="20"/>
          <w:szCs w:val="20"/>
        </w:rPr>
      </w:pPr>
      <w:r w:rsidRPr="00B66A57">
        <w:rPr>
          <w:rFonts w:ascii="Times New Roman" w:hAnsi="Times New Roman"/>
          <w:b/>
          <w:bCs/>
          <w:sz w:val="20"/>
          <w:szCs w:val="20"/>
        </w:rPr>
        <w:t>A3)</w:t>
      </w:r>
      <w:r w:rsidRPr="00B66A57">
        <w:rPr>
          <w:rFonts w:ascii="Times New Roman" w:hAnsi="Times New Roman"/>
          <w:b/>
          <w:bCs/>
          <w:sz w:val="20"/>
          <w:szCs w:val="20"/>
        </w:rPr>
        <w:tab/>
        <w:t>Disclosure of audit report</w:t>
      </w:r>
      <w:r w:rsidRPr="00644002">
        <w:rPr>
          <w:rFonts w:ascii="Times New Roman" w:hAnsi="Times New Roman"/>
          <w:b/>
          <w:bCs/>
          <w:sz w:val="20"/>
          <w:szCs w:val="20"/>
        </w:rPr>
        <w:t xml:space="preserve"> qualification</w:t>
      </w:r>
    </w:p>
    <w:p w:rsidR="006C5FC1" w:rsidRPr="00644002" w:rsidRDefault="006C5FC1" w:rsidP="006C5FC1">
      <w:pPr>
        <w:spacing w:after="0"/>
        <w:ind w:left="540"/>
        <w:rPr>
          <w:rFonts w:ascii="Times New Roman" w:hAnsi="Times New Roman"/>
          <w:sz w:val="20"/>
          <w:szCs w:val="20"/>
        </w:rPr>
      </w:pPr>
    </w:p>
    <w:p w:rsidR="006C5FC1" w:rsidRDefault="006C5FC1" w:rsidP="00F7218C">
      <w:pPr>
        <w:spacing w:after="0"/>
        <w:ind w:left="720"/>
        <w:rPr>
          <w:rFonts w:ascii="Times New Roman" w:hAnsi="Times New Roman"/>
          <w:sz w:val="20"/>
          <w:szCs w:val="20"/>
        </w:rPr>
      </w:pPr>
      <w:r w:rsidRPr="00644002">
        <w:rPr>
          <w:rFonts w:ascii="Times New Roman" w:hAnsi="Times New Roman"/>
          <w:sz w:val="20"/>
          <w:szCs w:val="20"/>
        </w:rPr>
        <w:t>The auditor's report on the financial statements of the Group and the Company for the year ended 31 December 201</w:t>
      </w:r>
      <w:r w:rsidR="00D00B65">
        <w:rPr>
          <w:rFonts w:ascii="Times New Roman" w:hAnsi="Times New Roman"/>
          <w:sz w:val="20"/>
          <w:szCs w:val="20"/>
        </w:rPr>
        <w:t>3</w:t>
      </w:r>
      <w:r w:rsidRPr="00644002">
        <w:rPr>
          <w:rFonts w:ascii="Times New Roman" w:hAnsi="Times New Roman"/>
          <w:sz w:val="20"/>
          <w:szCs w:val="20"/>
        </w:rPr>
        <w:t xml:space="preserve"> was not subject to any qualification.</w:t>
      </w:r>
    </w:p>
    <w:p w:rsidR="007A5D38" w:rsidRDefault="007A5D38" w:rsidP="006C5FC1">
      <w:pPr>
        <w:tabs>
          <w:tab w:val="left" w:pos="720"/>
        </w:tabs>
        <w:spacing w:after="0"/>
        <w:ind w:left="990" w:hanging="990"/>
        <w:rPr>
          <w:rFonts w:ascii="Times New Roman" w:hAnsi="Times New Roman"/>
          <w:b/>
          <w:bCs/>
          <w:sz w:val="20"/>
          <w:szCs w:val="20"/>
        </w:rPr>
      </w:pPr>
    </w:p>
    <w:p w:rsidR="006C5FC1" w:rsidRPr="00644002" w:rsidRDefault="006C5FC1" w:rsidP="006C5FC1">
      <w:pPr>
        <w:tabs>
          <w:tab w:val="left" w:pos="720"/>
        </w:tabs>
        <w:spacing w:after="0"/>
        <w:ind w:left="990" w:hanging="990"/>
        <w:rPr>
          <w:rFonts w:ascii="Times New Roman" w:hAnsi="Times New Roman"/>
          <w:b/>
          <w:bCs/>
          <w:sz w:val="20"/>
          <w:szCs w:val="20"/>
        </w:rPr>
      </w:pPr>
      <w:r w:rsidRPr="00644002">
        <w:rPr>
          <w:rFonts w:ascii="Times New Roman" w:hAnsi="Times New Roman"/>
          <w:b/>
          <w:bCs/>
          <w:sz w:val="20"/>
          <w:szCs w:val="20"/>
        </w:rPr>
        <w:t>A</w:t>
      </w:r>
      <w:r>
        <w:rPr>
          <w:rFonts w:ascii="Times New Roman" w:hAnsi="Times New Roman"/>
          <w:b/>
          <w:bCs/>
          <w:sz w:val="20"/>
          <w:szCs w:val="20"/>
        </w:rPr>
        <w:t>4</w:t>
      </w:r>
      <w:r w:rsidRPr="00644002">
        <w:rPr>
          <w:rFonts w:ascii="Times New Roman" w:hAnsi="Times New Roman"/>
          <w:b/>
          <w:bCs/>
          <w:sz w:val="20"/>
          <w:szCs w:val="20"/>
        </w:rPr>
        <w:t>)</w:t>
      </w:r>
      <w:r w:rsidRPr="00644002">
        <w:rPr>
          <w:rFonts w:ascii="Times New Roman" w:hAnsi="Times New Roman"/>
          <w:b/>
          <w:bCs/>
          <w:sz w:val="20"/>
          <w:szCs w:val="20"/>
        </w:rPr>
        <w:tab/>
        <w:t>Explanatory comments about the seasonality or cyclicality of operations</w:t>
      </w:r>
    </w:p>
    <w:p w:rsidR="006C5FC1" w:rsidRPr="00644002" w:rsidRDefault="006C5FC1" w:rsidP="006C5FC1">
      <w:pPr>
        <w:spacing w:after="0"/>
        <w:ind w:left="540"/>
        <w:rPr>
          <w:rFonts w:ascii="Times New Roman" w:hAnsi="Times New Roman"/>
          <w:sz w:val="20"/>
          <w:szCs w:val="20"/>
        </w:rPr>
      </w:pPr>
    </w:p>
    <w:p w:rsidR="006C5FC1" w:rsidRPr="00644002" w:rsidRDefault="006C5FC1" w:rsidP="006C5FC1">
      <w:pPr>
        <w:spacing w:after="0"/>
        <w:ind w:left="720"/>
        <w:jc w:val="both"/>
        <w:rPr>
          <w:rFonts w:ascii="Times New Roman" w:hAnsi="Times New Roman"/>
          <w:sz w:val="20"/>
          <w:szCs w:val="20"/>
        </w:rPr>
      </w:pPr>
      <w:r w:rsidRPr="00644002">
        <w:rPr>
          <w:rFonts w:ascii="Times New Roman" w:hAnsi="Times New Roman"/>
          <w:sz w:val="20"/>
          <w:szCs w:val="20"/>
        </w:rPr>
        <w:t xml:space="preserve">The Group's operations </w:t>
      </w:r>
      <w:r>
        <w:rPr>
          <w:rFonts w:ascii="Times New Roman" w:hAnsi="Times New Roman"/>
          <w:sz w:val="20"/>
          <w:szCs w:val="20"/>
        </w:rPr>
        <w:t>we</w:t>
      </w:r>
      <w:r w:rsidRPr="00644002">
        <w:rPr>
          <w:rFonts w:ascii="Times New Roman" w:hAnsi="Times New Roman"/>
          <w:sz w:val="20"/>
          <w:szCs w:val="20"/>
        </w:rPr>
        <w:t>re not subject</w:t>
      </w:r>
      <w:r>
        <w:rPr>
          <w:rFonts w:ascii="Times New Roman" w:hAnsi="Times New Roman"/>
          <w:sz w:val="20"/>
          <w:szCs w:val="20"/>
        </w:rPr>
        <w:t>ed</w:t>
      </w:r>
      <w:r w:rsidRPr="00644002">
        <w:rPr>
          <w:rFonts w:ascii="Times New Roman" w:hAnsi="Times New Roman"/>
          <w:sz w:val="20"/>
          <w:szCs w:val="20"/>
        </w:rPr>
        <w:t xml:space="preserve"> to any material seasonal or cyclical factor other than market fluctuations in</w:t>
      </w:r>
      <w:r w:rsidR="0050492F">
        <w:rPr>
          <w:rFonts w:ascii="Times New Roman" w:hAnsi="Times New Roman"/>
          <w:sz w:val="20"/>
          <w:szCs w:val="20"/>
        </w:rPr>
        <w:t xml:space="preserve">  </w:t>
      </w:r>
      <w:r w:rsidRPr="00644002">
        <w:rPr>
          <w:rFonts w:ascii="Times New Roman" w:hAnsi="Times New Roman"/>
          <w:sz w:val="20"/>
          <w:szCs w:val="20"/>
        </w:rPr>
        <w:t>selling prices and costs of raw materials</w:t>
      </w:r>
      <w:r>
        <w:rPr>
          <w:rFonts w:ascii="Times New Roman" w:hAnsi="Times New Roman"/>
          <w:sz w:val="20"/>
          <w:szCs w:val="20"/>
        </w:rPr>
        <w:t>.</w:t>
      </w:r>
    </w:p>
    <w:p w:rsidR="006C5FC1" w:rsidRPr="00644002" w:rsidRDefault="006C5FC1" w:rsidP="006C5FC1">
      <w:pPr>
        <w:spacing w:after="0"/>
        <w:ind w:left="540"/>
        <w:rPr>
          <w:rFonts w:ascii="Times New Roman" w:hAnsi="Times New Roman"/>
          <w:sz w:val="20"/>
          <w:szCs w:val="20"/>
        </w:rPr>
      </w:pPr>
    </w:p>
    <w:p w:rsidR="006C5FC1" w:rsidRPr="00644002" w:rsidRDefault="006C5FC1" w:rsidP="006C5FC1">
      <w:pPr>
        <w:tabs>
          <w:tab w:val="left" w:pos="990"/>
        </w:tabs>
        <w:spacing w:after="0"/>
        <w:ind w:left="720" w:hanging="720"/>
        <w:rPr>
          <w:rFonts w:ascii="Times New Roman" w:hAnsi="Times New Roman"/>
          <w:b/>
          <w:bCs/>
          <w:sz w:val="20"/>
          <w:szCs w:val="20"/>
        </w:rPr>
      </w:pPr>
      <w:r w:rsidRPr="00644002">
        <w:rPr>
          <w:rFonts w:ascii="Times New Roman" w:hAnsi="Times New Roman"/>
          <w:b/>
          <w:bCs/>
          <w:sz w:val="20"/>
          <w:szCs w:val="20"/>
        </w:rPr>
        <w:t>A</w:t>
      </w:r>
      <w:r w:rsidR="00D00B65">
        <w:rPr>
          <w:rFonts w:ascii="Times New Roman" w:hAnsi="Times New Roman"/>
          <w:b/>
          <w:bCs/>
          <w:sz w:val="20"/>
          <w:szCs w:val="20"/>
        </w:rPr>
        <w:t>5)</w:t>
      </w:r>
      <w:r w:rsidR="00D00B65">
        <w:rPr>
          <w:rFonts w:ascii="Times New Roman" w:hAnsi="Times New Roman"/>
          <w:b/>
          <w:bCs/>
          <w:sz w:val="20"/>
          <w:szCs w:val="20"/>
        </w:rPr>
        <w:tab/>
        <w:t xml:space="preserve">Unusual </w:t>
      </w:r>
      <w:r>
        <w:rPr>
          <w:rFonts w:ascii="Times New Roman" w:hAnsi="Times New Roman"/>
          <w:b/>
          <w:bCs/>
          <w:sz w:val="20"/>
          <w:szCs w:val="20"/>
        </w:rPr>
        <w:t>Items due to their nature, size or i</w:t>
      </w:r>
      <w:r w:rsidRPr="00644002">
        <w:rPr>
          <w:rFonts w:ascii="Times New Roman" w:hAnsi="Times New Roman"/>
          <w:b/>
          <w:bCs/>
          <w:sz w:val="20"/>
          <w:szCs w:val="20"/>
        </w:rPr>
        <w:t>ncidence</w:t>
      </w:r>
    </w:p>
    <w:p w:rsidR="006C5FC1" w:rsidRPr="00644002" w:rsidRDefault="006C5FC1" w:rsidP="006C5FC1">
      <w:pPr>
        <w:spacing w:after="0"/>
        <w:ind w:left="540"/>
        <w:rPr>
          <w:rFonts w:ascii="Times New Roman" w:hAnsi="Times New Roman"/>
          <w:sz w:val="20"/>
          <w:szCs w:val="20"/>
        </w:rPr>
      </w:pPr>
    </w:p>
    <w:p w:rsidR="006C5FC1" w:rsidRDefault="006C5FC1" w:rsidP="006C5FC1">
      <w:pPr>
        <w:spacing w:after="0"/>
        <w:ind w:left="720"/>
        <w:jc w:val="both"/>
        <w:rPr>
          <w:rFonts w:ascii="Times New Roman" w:hAnsi="Times New Roman"/>
          <w:sz w:val="20"/>
          <w:szCs w:val="20"/>
        </w:rPr>
      </w:pPr>
      <w:r w:rsidRPr="00644002">
        <w:rPr>
          <w:rFonts w:ascii="Times New Roman" w:hAnsi="Times New Roman"/>
          <w:sz w:val="20"/>
          <w:szCs w:val="20"/>
        </w:rPr>
        <w:t>There w</w:t>
      </w:r>
      <w:r>
        <w:rPr>
          <w:rFonts w:ascii="Times New Roman" w:hAnsi="Times New Roman"/>
          <w:sz w:val="20"/>
          <w:szCs w:val="20"/>
        </w:rPr>
        <w:t>as</w:t>
      </w:r>
      <w:r w:rsidRPr="00644002">
        <w:rPr>
          <w:rFonts w:ascii="Times New Roman" w:hAnsi="Times New Roman"/>
          <w:sz w:val="20"/>
          <w:szCs w:val="20"/>
        </w:rPr>
        <w:t xml:space="preserve"> no item affecting assets, liabilities, net income or cash flows that were unusual because of their nature, size or incidence for the current quar</w:t>
      </w:r>
      <w:r>
        <w:rPr>
          <w:rFonts w:ascii="Times New Roman" w:hAnsi="Times New Roman"/>
          <w:sz w:val="20"/>
          <w:szCs w:val="20"/>
        </w:rPr>
        <w:t xml:space="preserve">ter and financial period under review. </w:t>
      </w:r>
    </w:p>
    <w:p w:rsidR="00A10A76" w:rsidRDefault="00A10A76" w:rsidP="00652F79">
      <w:pPr>
        <w:tabs>
          <w:tab w:val="left" w:pos="990"/>
        </w:tabs>
        <w:spacing w:after="0"/>
        <w:rPr>
          <w:rFonts w:ascii="Times New Roman" w:hAnsi="Times New Roman"/>
          <w:sz w:val="20"/>
          <w:szCs w:val="20"/>
        </w:rPr>
      </w:pPr>
    </w:p>
    <w:p w:rsidR="006C5FC1" w:rsidRPr="00644002" w:rsidRDefault="006C5FC1" w:rsidP="006C5FC1">
      <w:pPr>
        <w:tabs>
          <w:tab w:val="left" w:pos="990"/>
        </w:tabs>
        <w:spacing w:after="0"/>
        <w:ind w:left="720" w:hanging="720"/>
        <w:rPr>
          <w:rFonts w:ascii="Times New Roman" w:hAnsi="Times New Roman"/>
          <w:b/>
          <w:bCs/>
          <w:sz w:val="20"/>
          <w:szCs w:val="20"/>
        </w:rPr>
      </w:pPr>
      <w:r w:rsidRPr="00644002">
        <w:rPr>
          <w:rFonts w:ascii="Times New Roman" w:hAnsi="Times New Roman"/>
          <w:b/>
          <w:bCs/>
          <w:sz w:val="20"/>
          <w:szCs w:val="20"/>
        </w:rPr>
        <w:t>A</w:t>
      </w:r>
      <w:r>
        <w:rPr>
          <w:rFonts w:ascii="Times New Roman" w:hAnsi="Times New Roman"/>
          <w:b/>
          <w:bCs/>
          <w:sz w:val="20"/>
          <w:szCs w:val="20"/>
        </w:rPr>
        <w:t>6)</w:t>
      </w:r>
      <w:r>
        <w:rPr>
          <w:rFonts w:ascii="Times New Roman" w:hAnsi="Times New Roman"/>
          <w:b/>
          <w:bCs/>
          <w:sz w:val="20"/>
          <w:szCs w:val="20"/>
        </w:rPr>
        <w:tab/>
      </w:r>
      <w:r w:rsidRPr="00644002">
        <w:rPr>
          <w:rFonts w:ascii="Times New Roman" w:hAnsi="Times New Roman"/>
          <w:b/>
          <w:bCs/>
          <w:sz w:val="20"/>
          <w:szCs w:val="20"/>
        </w:rPr>
        <w:t xml:space="preserve">Changes in prior estimates of amounts which materially affect the current interim period </w:t>
      </w:r>
    </w:p>
    <w:p w:rsidR="006C5FC1" w:rsidRPr="00644002" w:rsidRDefault="006C5FC1" w:rsidP="006C5FC1">
      <w:pPr>
        <w:spacing w:after="0"/>
        <w:ind w:left="540"/>
        <w:rPr>
          <w:rFonts w:ascii="Times New Roman" w:hAnsi="Times New Roman"/>
          <w:sz w:val="20"/>
          <w:szCs w:val="20"/>
        </w:rPr>
      </w:pPr>
    </w:p>
    <w:p w:rsidR="006C5FC1" w:rsidRPr="00644002" w:rsidRDefault="006C5FC1" w:rsidP="006C5FC1">
      <w:pPr>
        <w:tabs>
          <w:tab w:val="left" w:pos="810"/>
        </w:tabs>
        <w:spacing w:after="0"/>
        <w:ind w:left="720"/>
        <w:jc w:val="both"/>
        <w:rPr>
          <w:rFonts w:ascii="Times New Roman" w:hAnsi="Times New Roman"/>
          <w:sz w:val="20"/>
          <w:szCs w:val="20"/>
        </w:rPr>
      </w:pPr>
      <w:r w:rsidRPr="00644002">
        <w:rPr>
          <w:rFonts w:ascii="Times New Roman" w:hAnsi="Times New Roman"/>
          <w:sz w:val="20"/>
          <w:szCs w:val="20"/>
        </w:rPr>
        <w:t xml:space="preserve">There </w:t>
      </w:r>
      <w:r w:rsidR="00E01D34" w:rsidRPr="00644002">
        <w:rPr>
          <w:rFonts w:ascii="Times New Roman" w:hAnsi="Times New Roman"/>
          <w:sz w:val="20"/>
          <w:szCs w:val="20"/>
        </w:rPr>
        <w:t>w</w:t>
      </w:r>
      <w:r w:rsidR="00E01D34">
        <w:rPr>
          <w:rFonts w:ascii="Times New Roman" w:hAnsi="Times New Roman"/>
          <w:sz w:val="20"/>
          <w:szCs w:val="20"/>
        </w:rPr>
        <w:t>ere</w:t>
      </w:r>
      <w:r w:rsidRPr="00644002">
        <w:rPr>
          <w:rFonts w:ascii="Times New Roman" w:hAnsi="Times New Roman"/>
          <w:sz w:val="20"/>
          <w:szCs w:val="20"/>
        </w:rPr>
        <w:t xml:space="preserve"> no material changes in the prior estimates which would materially affect the current interim period.</w:t>
      </w:r>
    </w:p>
    <w:p w:rsidR="006C5FC1" w:rsidRDefault="006C5FC1" w:rsidP="006C5FC1">
      <w:pPr>
        <w:tabs>
          <w:tab w:val="left" w:pos="990"/>
        </w:tabs>
        <w:spacing w:after="0"/>
        <w:ind w:left="540"/>
        <w:rPr>
          <w:rFonts w:ascii="Times New Roman" w:hAnsi="Times New Roman"/>
          <w:b/>
          <w:bCs/>
          <w:sz w:val="20"/>
          <w:szCs w:val="20"/>
        </w:rPr>
      </w:pPr>
    </w:p>
    <w:p w:rsidR="006C5FC1" w:rsidRPr="00644002" w:rsidRDefault="006C5FC1" w:rsidP="006C5FC1">
      <w:pPr>
        <w:tabs>
          <w:tab w:val="left" w:pos="990"/>
        </w:tabs>
        <w:spacing w:after="0"/>
        <w:ind w:left="720" w:hanging="720"/>
        <w:rPr>
          <w:rFonts w:ascii="Times New Roman" w:hAnsi="Times New Roman"/>
          <w:b/>
          <w:bCs/>
          <w:sz w:val="20"/>
          <w:szCs w:val="20"/>
        </w:rPr>
      </w:pPr>
      <w:r w:rsidRPr="00644002">
        <w:rPr>
          <w:rFonts w:ascii="Times New Roman" w:hAnsi="Times New Roman"/>
          <w:b/>
          <w:bCs/>
          <w:sz w:val="20"/>
          <w:szCs w:val="20"/>
        </w:rPr>
        <w:t>A</w:t>
      </w:r>
      <w:r>
        <w:rPr>
          <w:rFonts w:ascii="Times New Roman" w:hAnsi="Times New Roman"/>
          <w:b/>
          <w:bCs/>
          <w:sz w:val="20"/>
          <w:szCs w:val="20"/>
        </w:rPr>
        <w:t>7</w:t>
      </w:r>
      <w:r w:rsidRPr="00644002">
        <w:rPr>
          <w:rFonts w:ascii="Times New Roman" w:hAnsi="Times New Roman"/>
          <w:b/>
          <w:bCs/>
          <w:sz w:val="20"/>
          <w:szCs w:val="20"/>
        </w:rPr>
        <w:t>)</w:t>
      </w:r>
      <w:r w:rsidRPr="00644002">
        <w:rPr>
          <w:rFonts w:ascii="Times New Roman" w:hAnsi="Times New Roman"/>
          <w:b/>
          <w:bCs/>
          <w:sz w:val="20"/>
          <w:szCs w:val="20"/>
        </w:rPr>
        <w:tab/>
        <w:t xml:space="preserve">Issuances, cancellations, </w:t>
      </w:r>
      <w:r w:rsidR="00E01D34" w:rsidRPr="00644002">
        <w:rPr>
          <w:rFonts w:ascii="Times New Roman" w:hAnsi="Times New Roman"/>
          <w:b/>
          <w:bCs/>
          <w:sz w:val="20"/>
          <w:szCs w:val="20"/>
        </w:rPr>
        <w:t>repurchases</w:t>
      </w:r>
      <w:r w:rsidRPr="00644002">
        <w:rPr>
          <w:rFonts w:ascii="Times New Roman" w:hAnsi="Times New Roman"/>
          <w:b/>
          <w:bCs/>
          <w:sz w:val="20"/>
          <w:szCs w:val="20"/>
        </w:rPr>
        <w:t xml:space="preserve"> resale and repayments of debt and equity securities</w:t>
      </w:r>
    </w:p>
    <w:p w:rsidR="006C5FC1" w:rsidRPr="00644002" w:rsidRDefault="006C5FC1" w:rsidP="006C5FC1">
      <w:pPr>
        <w:spacing w:after="0"/>
        <w:ind w:left="540"/>
        <w:rPr>
          <w:rFonts w:ascii="Times New Roman" w:hAnsi="Times New Roman"/>
          <w:sz w:val="20"/>
          <w:szCs w:val="20"/>
        </w:rPr>
      </w:pPr>
    </w:p>
    <w:p w:rsidR="006C5FC1" w:rsidRDefault="006C5FC1" w:rsidP="006C5FC1">
      <w:pPr>
        <w:pStyle w:val="Default"/>
        <w:spacing w:after="0"/>
        <w:ind w:left="720"/>
        <w:jc w:val="both"/>
        <w:rPr>
          <w:rFonts w:ascii="Times New Roman" w:hAnsi="Times New Roman"/>
          <w:sz w:val="20"/>
          <w:szCs w:val="20"/>
        </w:rPr>
      </w:pPr>
      <w:r w:rsidRPr="00C91818">
        <w:rPr>
          <w:rFonts w:ascii="Times New Roman" w:hAnsi="Times New Roman"/>
          <w:sz w:val="20"/>
          <w:szCs w:val="20"/>
        </w:rPr>
        <w:t xml:space="preserve">There was no issuance, </w:t>
      </w:r>
      <w:r w:rsidR="0050492F">
        <w:rPr>
          <w:rFonts w:ascii="Times New Roman" w:hAnsi="Times New Roman"/>
          <w:sz w:val="20"/>
          <w:szCs w:val="20"/>
        </w:rPr>
        <w:t xml:space="preserve">cancellation, </w:t>
      </w:r>
      <w:r w:rsidRPr="00C91818">
        <w:rPr>
          <w:rFonts w:ascii="Times New Roman" w:hAnsi="Times New Roman"/>
          <w:sz w:val="20"/>
          <w:szCs w:val="20"/>
        </w:rPr>
        <w:t>repurchase</w:t>
      </w:r>
      <w:r>
        <w:rPr>
          <w:rFonts w:ascii="Times New Roman" w:hAnsi="Times New Roman"/>
          <w:sz w:val="20"/>
          <w:szCs w:val="20"/>
        </w:rPr>
        <w:t>, resale and repayment</w:t>
      </w:r>
      <w:r w:rsidRPr="00C91818">
        <w:rPr>
          <w:rFonts w:ascii="Times New Roman" w:hAnsi="Times New Roman"/>
          <w:sz w:val="20"/>
          <w:szCs w:val="20"/>
        </w:rPr>
        <w:t xml:space="preserve"> of debt and equity securities during the </w:t>
      </w:r>
      <w:r w:rsidR="00186FB0">
        <w:rPr>
          <w:rFonts w:ascii="Times New Roman" w:hAnsi="Times New Roman"/>
          <w:sz w:val="20"/>
          <w:szCs w:val="20"/>
        </w:rPr>
        <w:t>period</w:t>
      </w:r>
      <w:r w:rsidRPr="00C91818">
        <w:rPr>
          <w:rFonts w:ascii="Times New Roman" w:hAnsi="Times New Roman"/>
          <w:sz w:val="20"/>
          <w:szCs w:val="20"/>
        </w:rPr>
        <w:t xml:space="preserve"> under review</w:t>
      </w:r>
      <w:r w:rsidR="00912F09">
        <w:rPr>
          <w:rFonts w:ascii="Times New Roman" w:hAnsi="Times New Roman"/>
          <w:sz w:val="20"/>
          <w:szCs w:val="20"/>
        </w:rPr>
        <w:t xml:space="preserve"> save for</w:t>
      </w:r>
      <w:r w:rsidR="00F935FE">
        <w:rPr>
          <w:rFonts w:ascii="Times New Roman" w:hAnsi="Times New Roman"/>
          <w:sz w:val="20"/>
          <w:szCs w:val="20"/>
        </w:rPr>
        <w:t xml:space="preserve"> repaymen</w:t>
      </w:r>
      <w:r w:rsidR="007F04C2">
        <w:rPr>
          <w:rFonts w:ascii="Times New Roman" w:hAnsi="Times New Roman"/>
          <w:sz w:val="20"/>
          <w:szCs w:val="20"/>
        </w:rPr>
        <w:t>t</w:t>
      </w:r>
      <w:r w:rsidR="00912F09">
        <w:rPr>
          <w:rFonts w:ascii="Times New Roman" w:hAnsi="Times New Roman"/>
          <w:sz w:val="20"/>
          <w:szCs w:val="20"/>
        </w:rPr>
        <w:t>s</w:t>
      </w:r>
      <w:r w:rsidR="007F04C2">
        <w:rPr>
          <w:rFonts w:ascii="Times New Roman" w:hAnsi="Times New Roman"/>
          <w:sz w:val="20"/>
          <w:szCs w:val="20"/>
        </w:rPr>
        <w:t xml:space="preserve"> of the unsecured </w:t>
      </w:r>
      <w:r w:rsidR="00912F09">
        <w:rPr>
          <w:rFonts w:ascii="Times New Roman" w:hAnsi="Times New Roman"/>
          <w:sz w:val="20"/>
          <w:szCs w:val="20"/>
        </w:rPr>
        <w:t>term loan</w:t>
      </w:r>
      <w:r w:rsidR="00186FB0">
        <w:rPr>
          <w:rFonts w:ascii="Times New Roman" w:hAnsi="Times New Roman"/>
          <w:sz w:val="20"/>
          <w:szCs w:val="20"/>
        </w:rPr>
        <w:t>s</w:t>
      </w:r>
      <w:r w:rsidR="00025D4A">
        <w:rPr>
          <w:rFonts w:ascii="Times New Roman" w:hAnsi="Times New Roman"/>
          <w:sz w:val="20"/>
          <w:szCs w:val="20"/>
        </w:rPr>
        <w:t xml:space="preserve"> on 22 September 2014, </w:t>
      </w:r>
      <w:r w:rsidR="007F04C2">
        <w:rPr>
          <w:rFonts w:ascii="Times New Roman" w:hAnsi="Times New Roman"/>
          <w:sz w:val="20"/>
          <w:szCs w:val="20"/>
        </w:rPr>
        <w:t xml:space="preserve">27 May 2014 </w:t>
      </w:r>
      <w:r w:rsidR="00460307">
        <w:rPr>
          <w:rFonts w:ascii="Times New Roman" w:hAnsi="Times New Roman"/>
          <w:sz w:val="20"/>
          <w:szCs w:val="20"/>
        </w:rPr>
        <w:t>of RM50 million each</w:t>
      </w:r>
      <w:r w:rsidR="00025D4A">
        <w:rPr>
          <w:rFonts w:ascii="Times New Roman" w:hAnsi="Times New Roman"/>
          <w:sz w:val="20"/>
          <w:szCs w:val="20"/>
        </w:rPr>
        <w:t xml:space="preserve"> and on 29 December 2014 of RM10 million.</w:t>
      </w:r>
    </w:p>
    <w:p w:rsidR="001A72F6" w:rsidRDefault="001A72F6" w:rsidP="006C5FC1">
      <w:pPr>
        <w:pStyle w:val="Default"/>
        <w:spacing w:after="0"/>
        <w:ind w:left="720"/>
        <w:jc w:val="both"/>
        <w:rPr>
          <w:rFonts w:ascii="Times New Roman" w:hAnsi="Times New Roman"/>
          <w:sz w:val="20"/>
          <w:szCs w:val="20"/>
        </w:rPr>
      </w:pPr>
    </w:p>
    <w:p w:rsidR="001A72F6" w:rsidRDefault="001A72F6" w:rsidP="006C5FC1">
      <w:pPr>
        <w:pStyle w:val="Default"/>
        <w:spacing w:after="0"/>
        <w:ind w:left="720"/>
        <w:jc w:val="both"/>
        <w:rPr>
          <w:rFonts w:ascii="Times New Roman" w:hAnsi="Times New Roman"/>
          <w:sz w:val="20"/>
          <w:szCs w:val="20"/>
        </w:rPr>
      </w:pPr>
      <w:r w:rsidRPr="00C91818">
        <w:rPr>
          <w:rFonts w:ascii="Times New Roman" w:hAnsi="Times New Roman"/>
          <w:sz w:val="20"/>
          <w:szCs w:val="20"/>
        </w:rPr>
        <w:t xml:space="preserve">The number of Treasury Shares held as at </w:t>
      </w:r>
      <w:r>
        <w:rPr>
          <w:rFonts w:ascii="Times New Roman" w:hAnsi="Times New Roman"/>
          <w:sz w:val="20"/>
          <w:szCs w:val="20"/>
        </w:rPr>
        <w:t>end of the current period</w:t>
      </w:r>
      <w:r w:rsidR="0050492F">
        <w:rPr>
          <w:rFonts w:ascii="Times New Roman" w:hAnsi="Times New Roman"/>
          <w:sz w:val="20"/>
          <w:szCs w:val="20"/>
        </w:rPr>
        <w:t xml:space="preserve">  </w:t>
      </w:r>
      <w:r>
        <w:rPr>
          <w:rFonts w:ascii="Times New Roman" w:hAnsi="Times New Roman"/>
          <w:sz w:val="20"/>
          <w:szCs w:val="20"/>
        </w:rPr>
        <w:t xml:space="preserve">under review </w:t>
      </w:r>
      <w:r w:rsidRPr="00C91818">
        <w:rPr>
          <w:rFonts w:ascii="Times New Roman" w:hAnsi="Times New Roman"/>
          <w:sz w:val="20"/>
          <w:szCs w:val="20"/>
        </w:rPr>
        <w:t>was 2,998,000.</w:t>
      </w:r>
    </w:p>
    <w:p w:rsidR="006C5FC1" w:rsidRDefault="006C5FC1" w:rsidP="006C5FC1">
      <w:pPr>
        <w:spacing w:after="0"/>
        <w:rPr>
          <w:rFonts w:ascii="Times New Roman" w:hAnsi="Times New Roman"/>
          <w:sz w:val="20"/>
          <w:szCs w:val="20"/>
        </w:rPr>
      </w:pPr>
    </w:p>
    <w:p w:rsidR="006C5FC1" w:rsidRPr="0096382C" w:rsidRDefault="006C5FC1" w:rsidP="006C5FC1">
      <w:pPr>
        <w:tabs>
          <w:tab w:val="left" w:pos="990"/>
        </w:tabs>
        <w:spacing w:after="0"/>
        <w:ind w:left="720" w:hanging="720"/>
        <w:rPr>
          <w:rFonts w:ascii="Times New Roman" w:hAnsi="Times New Roman"/>
          <w:b/>
          <w:bCs/>
          <w:sz w:val="20"/>
          <w:szCs w:val="20"/>
        </w:rPr>
      </w:pPr>
      <w:r>
        <w:rPr>
          <w:rFonts w:ascii="Times New Roman" w:hAnsi="Times New Roman"/>
          <w:b/>
          <w:bCs/>
          <w:sz w:val="20"/>
          <w:szCs w:val="20"/>
        </w:rPr>
        <w:t>A8</w:t>
      </w:r>
      <w:r w:rsidRPr="0096382C">
        <w:rPr>
          <w:rFonts w:ascii="Times New Roman" w:hAnsi="Times New Roman"/>
          <w:b/>
          <w:bCs/>
          <w:sz w:val="20"/>
          <w:szCs w:val="20"/>
        </w:rPr>
        <w:t>)</w:t>
      </w:r>
      <w:r w:rsidRPr="0096382C">
        <w:rPr>
          <w:rFonts w:ascii="Times New Roman" w:hAnsi="Times New Roman"/>
          <w:b/>
          <w:bCs/>
          <w:sz w:val="20"/>
          <w:szCs w:val="20"/>
        </w:rPr>
        <w:tab/>
        <w:t>Dividends paid</w:t>
      </w:r>
    </w:p>
    <w:p w:rsidR="006C5FC1" w:rsidRPr="0096382C" w:rsidRDefault="006C5FC1" w:rsidP="006C5FC1">
      <w:pPr>
        <w:spacing w:after="0"/>
        <w:ind w:left="540"/>
        <w:rPr>
          <w:rFonts w:ascii="Times New Roman" w:hAnsi="Times New Roman"/>
          <w:b/>
          <w:bCs/>
          <w:sz w:val="20"/>
          <w:szCs w:val="20"/>
        </w:rPr>
      </w:pPr>
    </w:p>
    <w:p w:rsidR="00355931" w:rsidRDefault="00355931" w:rsidP="00355931">
      <w:pPr>
        <w:spacing w:after="0"/>
        <w:ind w:left="720"/>
        <w:jc w:val="both"/>
        <w:rPr>
          <w:rFonts w:ascii="Times New Roman" w:hAnsi="Times New Roman"/>
          <w:sz w:val="20"/>
          <w:szCs w:val="20"/>
        </w:rPr>
      </w:pPr>
      <w:r>
        <w:rPr>
          <w:rFonts w:ascii="Times New Roman" w:hAnsi="Times New Roman"/>
          <w:sz w:val="20"/>
          <w:szCs w:val="20"/>
        </w:rPr>
        <w:t>No dividend was paid in the current quarter under review.</w:t>
      </w:r>
    </w:p>
    <w:p w:rsidR="00621A79" w:rsidRDefault="00621A79" w:rsidP="00621A79">
      <w:pPr>
        <w:tabs>
          <w:tab w:val="left" w:pos="990"/>
        </w:tabs>
        <w:spacing w:after="0"/>
        <w:ind w:left="720" w:hanging="720"/>
        <w:rPr>
          <w:rFonts w:ascii="Times New Roman" w:hAnsi="Times New Roman"/>
          <w:b/>
          <w:bCs/>
          <w:sz w:val="20"/>
          <w:szCs w:val="20"/>
        </w:rPr>
      </w:pPr>
    </w:p>
    <w:p w:rsidR="003D7DBF" w:rsidRDefault="003D7DBF" w:rsidP="00621A79">
      <w:pPr>
        <w:tabs>
          <w:tab w:val="left" w:pos="990"/>
        </w:tabs>
        <w:spacing w:after="0"/>
        <w:ind w:left="720" w:hanging="720"/>
        <w:rPr>
          <w:rFonts w:ascii="Times New Roman" w:hAnsi="Times New Roman"/>
          <w:b/>
          <w:bCs/>
          <w:sz w:val="20"/>
          <w:szCs w:val="20"/>
        </w:rPr>
      </w:pPr>
    </w:p>
    <w:p w:rsidR="003D7DBF" w:rsidRDefault="003D7DBF" w:rsidP="00621A79">
      <w:pPr>
        <w:tabs>
          <w:tab w:val="left" w:pos="990"/>
        </w:tabs>
        <w:spacing w:after="0"/>
        <w:ind w:left="720" w:hanging="720"/>
        <w:rPr>
          <w:rFonts w:ascii="Times New Roman" w:hAnsi="Times New Roman"/>
          <w:b/>
          <w:bCs/>
          <w:sz w:val="20"/>
          <w:szCs w:val="20"/>
        </w:rPr>
      </w:pPr>
    </w:p>
    <w:p w:rsidR="003D7DBF" w:rsidRDefault="003D7DBF" w:rsidP="00621A79">
      <w:pPr>
        <w:tabs>
          <w:tab w:val="left" w:pos="990"/>
        </w:tabs>
        <w:spacing w:after="0"/>
        <w:ind w:left="720" w:hanging="720"/>
        <w:rPr>
          <w:rFonts w:ascii="Times New Roman" w:hAnsi="Times New Roman"/>
          <w:b/>
          <w:bCs/>
          <w:sz w:val="20"/>
          <w:szCs w:val="20"/>
        </w:rPr>
      </w:pPr>
    </w:p>
    <w:p w:rsidR="00CB2B13" w:rsidRDefault="00CB2B13" w:rsidP="00621A79">
      <w:pPr>
        <w:tabs>
          <w:tab w:val="left" w:pos="990"/>
        </w:tabs>
        <w:spacing w:after="0"/>
        <w:ind w:left="720" w:hanging="720"/>
        <w:rPr>
          <w:rFonts w:ascii="Times New Roman" w:hAnsi="Times New Roman"/>
          <w:b/>
          <w:bCs/>
          <w:sz w:val="20"/>
          <w:szCs w:val="20"/>
        </w:rPr>
      </w:pPr>
    </w:p>
    <w:p w:rsidR="00CB2B13" w:rsidRDefault="00CB2B13" w:rsidP="00621A79">
      <w:pPr>
        <w:tabs>
          <w:tab w:val="left" w:pos="990"/>
        </w:tabs>
        <w:spacing w:after="0"/>
        <w:ind w:left="720" w:hanging="720"/>
        <w:rPr>
          <w:rFonts w:ascii="Times New Roman" w:hAnsi="Times New Roman"/>
          <w:b/>
          <w:bCs/>
          <w:sz w:val="20"/>
          <w:szCs w:val="20"/>
        </w:rPr>
      </w:pPr>
    </w:p>
    <w:p w:rsidR="003D7DBF" w:rsidRDefault="003D7DBF" w:rsidP="00621A79">
      <w:pPr>
        <w:tabs>
          <w:tab w:val="left" w:pos="990"/>
        </w:tabs>
        <w:spacing w:after="0"/>
        <w:ind w:left="720" w:hanging="720"/>
        <w:rPr>
          <w:rFonts w:ascii="Times New Roman" w:hAnsi="Times New Roman"/>
          <w:b/>
          <w:bCs/>
          <w:sz w:val="20"/>
          <w:szCs w:val="20"/>
        </w:rPr>
      </w:pPr>
    </w:p>
    <w:p w:rsidR="00621A79" w:rsidRDefault="00621A79" w:rsidP="00621A79">
      <w:pPr>
        <w:tabs>
          <w:tab w:val="left" w:pos="990"/>
        </w:tabs>
        <w:spacing w:after="0"/>
        <w:ind w:left="720" w:hanging="720"/>
        <w:rPr>
          <w:rFonts w:ascii="Times New Roman" w:hAnsi="Times New Roman"/>
          <w:b/>
          <w:bCs/>
          <w:sz w:val="20"/>
          <w:szCs w:val="20"/>
        </w:rPr>
      </w:pPr>
      <w:r w:rsidRPr="003F0840">
        <w:rPr>
          <w:rFonts w:ascii="Times New Roman" w:hAnsi="Times New Roman"/>
          <w:b/>
          <w:bCs/>
          <w:sz w:val="20"/>
          <w:szCs w:val="20"/>
        </w:rPr>
        <w:t>A</w:t>
      </w:r>
      <w:r w:rsidR="006C5FC1">
        <w:rPr>
          <w:rFonts w:ascii="Times New Roman" w:hAnsi="Times New Roman"/>
          <w:b/>
          <w:bCs/>
          <w:sz w:val="20"/>
          <w:szCs w:val="20"/>
        </w:rPr>
        <w:t>9</w:t>
      </w:r>
      <w:r w:rsidRPr="003F0840">
        <w:rPr>
          <w:rFonts w:ascii="Times New Roman" w:hAnsi="Times New Roman"/>
          <w:b/>
          <w:bCs/>
          <w:sz w:val="20"/>
          <w:szCs w:val="20"/>
        </w:rPr>
        <w:t>)</w:t>
      </w:r>
      <w:r w:rsidRPr="003F0840">
        <w:rPr>
          <w:rFonts w:ascii="Times New Roman" w:hAnsi="Times New Roman"/>
          <w:b/>
          <w:bCs/>
          <w:sz w:val="20"/>
          <w:szCs w:val="20"/>
        </w:rPr>
        <w:tab/>
        <w:t>Segment reporting</w:t>
      </w:r>
    </w:p>
    <w:p w:rsidR="00355931" w:rsidRPr="00644002" w:rsidRDefault="00355931" w:rsidP="0065242E">
      <w:pPr>
        <w:pStyle w:val="Default"/>
        <w:spacing w:after="0"/>
        <w:ind w:firstLine="709"/>
        <w:jc w:val="both"/>
        <w:rPr>
          <w:rFonts w:ascii="Times New Roman" w:hAnsi="Times New Roman"/>
          <w:sz w:val="20"/>
          <w:szCs w:val="20"/>
        </w:rPr>
      </w:pPr>
    </w:p>
    <w:p w:rsidR="0050492F" w:rsidRDefault="0050492F" w:rsidP="0050492F">
      <w:pPr>
        <w:tabs>
          <w:tab w:val="left" w:pos="990"/>
        </w:tabs>
        <w:spacing w:after="0"/>
        <w:ind w:left="1429" w:hanging="720"/>
        <w:rPr>
          <w:rFonts w:ascii="Times New Roman" w:hAnsi="Times New Roman"/>
          <w:b/>
          <w:bCs/>
          <w:sz w:val="20"/>
          <w:szCs w:val="20"/>
        </w:rPr>
      </w:pPr>
      <w:r w:rsidRPr="0050492F">
        <w:rPr>
          <w:noProof/>
          <w:szCs w:val="20"/>
          <w:lang w:val="en-MY" w:eastAsia="en-MY" w:bidi="ar-SA"/>
        </w:rPr>
        <w:drawing>
          <wp:inline distT="0" distB="0" distL="0" distR="0">
            <wp:extent cx="5667375" cy="1743075"/>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667375" cy="1743075"/>
                    </a:xfrm>
                    <a:prstGeom prst="rect">
                      <a:avLst/>
                    </a:prstGeom>
                    <a:noFill/>
                    <a:ln w="9525">
                      <a:noFill/>
                      <a:miter lim="800000"/>
                      <a:headEnd/>
                      <a:tailEnd/>
                    </a:ln>
                  </pic:spPr>
                </pic:pic>
              </a:graphicData>
            </a:graphic>
          </wp:inline>
        </w:drawing>
      </w:r>
    </w:p>
    <w:p w:rsidR="0050492F" w:rsidRDefault="0050492F" w:rsidP="00CD2151">
      <w:pPr>
        <w:tabs>
          <w:tab w:val="left" w:pos="720"/>
        </w:tabs>
        <w:spacing w:after="0"/>
        <w:ind w:left="0"/>
        <w:rPr>
          <w:rFonts w:ascii="Times New Roman" w:hAnsi="Times New Roman"/>
          <w:b/>
          <w:bCs/>
          <w:sz w:val="20"/>
          <w:szCs w:val="20"/>
        </w:rPr>
      </w:pPr>
    </w:p>
    <w:p w:rsidR="0050492F" w:rsidRDefault="0050492F" w:rsidP="0050492F">
      <w:pPr>
        <w:tabs>
          <w:tab w:val="left" w:pos="720"/>
        </w:tabs>
        <w:spacing w:after="0"/>
        <w:ind w:left="709"/>
        <w:rPr>
          <w:rFonts w:ascii="Times New Roman" w:hAnsi="Times New Roman"/>
          <w:b/>
          <w:bCs/>
          <w:sz w:val="20"/>
          <w:szCs w:val="20"/>
        </w:rPr>
      </w:pPr>
      <w:r w:rsidRPr="0050492F">
        <w:rPr>
          <w:noProof/>
          <w:szCs w:val="20"/>
          <w:lang w:val="en-MY" w:eastAsia="en-MY" w:bidi="ar-SA"/>
        </w:rPr>
        <w:drawing>
          <wp:inline distT="0" distB="0" distL="0" distR="0">
            <wp:extent cx="5667375" cy="1752600"/>
            <wp:effectExtent l="19050" t="0" r="9525"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5667375" cy="1752600"/>
                    </a:xfrm>
                    <a:prstGeom prst="rect">
                      <a:avLst/>
                    </a:prstGeom>
                    <a:noFill/>
                    <a:ln w="9525">
                      <a:noFill/>
                      <a:miter lim="800000"/>
                      <a:headEnd/>
                      <a:tailEnd/>
                    </a:ln>
                  </pic:spPr>
                </pic:pic>
              </a:graphicData>
            </a:graphic>
          </wp:inline>
        </w:drawing>
      </w:r>
    </w:p>
    <w:p w:rsidR="0050492F" w:rsidRDefault="0050492F" w:rsidP="00CD2151">
      <w:pPr>
        <w:tabs>
          <w:tab w:val="left" w:pos="720"/>
        </w:tabs>
        <w:spacing w:after="0"/>
        <w:ind w:left="0"/>
        <w:rPr>
          <w:rFonts w:ascii="Times New Roman" w:hAnsi="Times New Roman"/>
          <w:b/>
          <w:bCs/>
          <w:sz w:val="20"/>
          <w:szCs w:val="20"/>
        </w:rPr>
      </w:pPr>
    </w:p>
    <w:p w:rsidR="00A420DE" w:rsidRDefault="00A420DE" w:rsidP="00CD2151">
      <w:pPr>
        <w:tabs>
          <w:tab w:val="left" w:pos="720"/>
        </w:tabs>
        <w:spacing w:after="0"/>
        <w:ind w:left="0"/>
        <w:rPr>
          <w:rFonts w:ascii="Times New Roman" w:hAnsi="Times New Roman"/>
          <w:b/>
          <w:bCs/>
          <w:sz w:val="20"/>
          <w:szCs w:val="20"/>
        </w:rPr>
      </w:pPr>
    </w:p>
    <w:p w:rsidR="006C5FC1" w:rsidRPr="00644002" w:rsidRDefault="006C5FC1" w:rsidP="00CD2151">
      <w:pPr>
        <w:tabs>
          <w:tab w:val="left" w:pos="720"/>
        </w:tabs>
        <w:spacing w:after="0"/>
        <w:ind w:left="0"/>
        <w:rPr>
          <w:rFonts w:ascii="Times New Roman" w:hAnsi="Times New Roman"/>
          <w:b/>
          <w:bCs/>
          <w:sz w:val="20"/>
          <w:szCs w:val="20"/>
        </w:rPr>
      </w:pPr>
      <w:r>
        <w:rPr>
          <w:rFonts w:ascii="Times New Roman" w:hAnsi="Times New Roman"/>
          <w:b/>
          <w:bCs/>
          <w:sz w:val="20"/>
          <w:szCs w:val="20"/>
        </w:rPr>
        <w:t>A10)</w:t>
      </w:r>
      <w:r>
        <w:rPr>
          <w:rFonts w:ascii="Times New Roman" w:hAnsi="Times New Roman"/>
          <w:b/>
          <w:bCs/>
          <w:sz w:val="20"/>
          <w:szCs w:val="20"/>
        </w:rPr>
        <w:tab/>
      </w:r>
      <w:r w:rsidRPr="00644002">
        <w:rPr>
          <w:rFonts w:ascii="Times New Roman" w:hAnsi="Times New Roman"/>
          <w:b/>
          <w:bCs/>
          <w:sz w:val="20"/>
          <w:szCs w:val="20"/>
        </w:rPr>
        <w:t>Property, plant and equipment</w:t>
      </w:r>
    </w:p>
    <w:p w:rsidR="006C5FC1" w:rsidRPr="00644002" w:rsidRDefault="006C5FC1" w:rsidP="006C5FC1">
      <w:pPr>
        <w:tabs>
          <w:tab w:val="left" w:pos="2880"/>
          <w:tab w:val="left" w:pos="3870"/>
          <w:tab w:val="left" w:pos="5400"/>
          <w:tab w:val="left" w:pos="8370"/>
        </w:tabs>
        <w:spacing w:after="0"/>
        <w:ind w:left="540"/>
        <w:rPr>
          <w:rFonts w:ascii="Times New Roman" w:hAnsi="Times New Roman"/>
          <w:sz w:val="20"/>
          <w:szCs w:val="20"/>
        </w:rPr>
      </w:pPr>
    </w:p>
    <w:p w:rsidR="006C5FC1" w:rsidRDefault="006C5FC1" w:rsidP="006C5FC1">
      <w:pPr>
        <w:spacing w:after="0"/>
        <w:ind w:left="720"/>
        <w:jc w:val="both"/>
        <w:rPr>
          <w:rFonts w:ascii="Times New Roman" w:hAnsi="Times New Roman"/>
          <w:sz w:val="20"/>
          <w:szCs w:val="20"/>
        </w:rPr>
      </w:pPr>
      <w:r>
        <w:rPr>
          <w:rFonts w:ascii="Times New Roman" w:hAnsi="Times New Roman"/>
          <w:sz w:val="20"/>
          <w:szCs w:val="20"/>
        </w:rPr>
        <w:t>The Group adopts the cost model for its property, land and building</w:t>
      </w:r>
      <w:r w:rsidRPr="003875F8">
        <w:rPr>
          <w:rFonts w:ascii="Times New Roman" w:hAnsi="Times New Roman"/>
          <w:sz w:val="20"/>
          <w:szCs w:val="20"/>
        </w:rPr>
        <w:t xml:space="preserve">. </w:t>
      </w:r>
    </w:p>
    <w:p w:rsidR="006C5FC1" w:rsidRDefault="006C5FC1" w:rsidP="006C5FC1">
      <w:pPr>
        <w:widowControl w:val="0"/>
        <w:tabs>
          <w:tab w:val="left" w:pos="630"/>
          <w:tab w:val="left" w:pos="720"/>
        </w:tabs>
        <w:autoSpaceDE w:val="0"/>
        <w:autoSpaceDN w:val="0"/>
        <w:adjustRightInd w:val="0"/>
        <w:spacing w:after="0" w:line="280" w:lineRule="exact"/>
        <w:ind w:left="540"/>
        <w:rPr>
          <w:rFonts w:ascii="Times New Roman" w:hAnsi="Times New Roman"/>
          <w:b/>
          <w:bCs/>
          <w:color w:val="000000"/>
          <w:sz w:val="20"/>
          <w:szCs w:val="20"/>
        </w:rPr>
      </w:pPr>
    </w:p>
    <w:p w:rsidR="006C5FC1" w:rsidRPr="005C634D" w:rsidRDefault="006C5FC1" w:rsidP="006C5FC1">
      <w:pPr>
        <w:tabs>
          <w:tab w:val="left" w:pos="990"/>
        </w:tabs>
        <w:spacing w:after="0"/>
        <w:ind w:left="720" w:hanging="720"/>
        <w:rPr>
          <w:rFonts w:ascii="Times New Roman" w:hAnsi="Times New Roman"/>
          <w:b/>
          <w:bCs/>
          <w:sz w:val="20"/>
          <w:szCs w:val="20"/>
        </w:rPr>
      </w:pPr>
      <w:r w:rsidRPr="005C634D">
        <w:rPr>
          <w:rFonts w:ascii="Times New Roman" w:hAnsi="Times New Roman"/>
          <w:b/>
          <w:bCs/>
          <w:sz w:val="20"/>
          <w:szCs w:val="20"/>
        </w:rPr>
        <w:t>A1</w:t>
      </w:r>
      <w:r>
        <w:rPr>
          <w:rFonts w:ascii="Times New Roman" w:hAnsi="Times New Roman"/>
          <w:b/>
          <w:bCs/>
          <w:sz w:val="20"/>
          <w:szCs w:val="20"/>
        </w:rPr>
        <w:t>1</w:t>
      </w:r>
      <w:r w:rsidRPr="005C634D">
        <w:rPr>
          <w:rFonts w:ascii="Times New Roman" w:hAnsi="Times New Roman"/>
          <w:b/>
          <w:bCs/>
          <w:sz w:val="20"/>
          <w:szCs w:val="20"/>
        </w:rPr>
        <w:t>)</w:t>
      </w:r>
      <w:r w:rsidRPr="005C634D">
        <w:rPr>
          <w:rFonts w:ascii="Times New Roman" w:hAnsi="Times New Roman"/>
          <w:b/>
          <w:bCs/>
          <w:sz w:val="20"/>
          <w:szCs w:val="20"/>
        </w:rPr>
        <w:tab/>
      </w:r>
      <w:r>
        <w:rPr>
          <w:rFonts w:ascii="Times New Roman" w:hAnsi="Times New Roman"/>
          <w:b/>
          <w:bCs/>
          <w:sz w:val="20"/>
          <w:szCs w:val="20"/>
        </w:rPr>
        <w:t>Post balance sheet event</w:t>
      </w:r>
    </w:p>
    <w:p w:rsidR="006C5FC1" w:rsidRDefault="006C5FC1" w:rsidP="006C5FC1">
      <w:pPr>
        <w:widowControl w:val="0"/>
        <w:autoSpaceDE w:val="0"/>
        <w:autoSpaceDN w:val="0"/>
        <w:adjustRightInd w:val="0"/>
        <w:spacing w:after="0" w:line="280" w:lineRule="exact"/>
        <w:jc w:val="both"/>
        <w:rPr>
          <w:rFonts w:ascii="Times New Roman" w:hAnsi="Times New Roman"/>
          <w:color w:val="000000"/>
          <w:sz w:val="20"/>
          <w:szCs w:val="20"/>
        </w:rPr>
      </w:pPr>
      <w:r>
        <w:rPr>
          <w:rFonts w:ascii="Times New Roman" w:hAnsi="Times New Roman"/>
          <w:color w:val="000000"/>
          <w:sz w:val="20"/>
          <w:szCs w:val="20"/>
        </w:rPr>
        <w:tab/>
      </w:r>
    </w:p>
    <w:p w:rsidR="006C5FC1" w:rsidRPr="006B36FE" w:rsidRDefault="00141CDD" w:rsidP="006C5FC1">
      <w:pPr>
        <w:widowControl w:val="0"/>
        <w:autoSpaceDE w:val="0"/>
        <w:autoSpaceDN w:val="0"/>
        <w:adjustRightInd w:val="0"/>
        <w:spacing w:after="0" w:line="280" w:lineRule="exact"/>
        <w:ind w:left="720"/>
        <w:jc w:val="both"/>
        <w:rPr>
          <w:rFonts w:ascii="Times New Roman" w:hAnsi="Times New Roman"/>
          <w:color w:val="000000"/>
          <w:sz w:val="20"/>
          <w:szCs w:val="20"/>
        </w:rPr>
      </w:pPr>
      <w:r>
        <w:rPr>
          <w:rFonts w:ascii="Times New Roman" w:hAnsi="Times New Roman"/>
          <w:color w:val="000000"/>
          <w:sz w:val="20"/>
          <w:szCs w:val="20"/>
        </w:rPr>
        <w:t>T</w:t>
      </w:r>
      <w:r w:rsidR="006C5FC1">
        <w:rPr>
          <w:rFonts w:ascii="Times New Roman" w:hAnsi="Times New Roman"/>
          <w:color w:val="000000"/>
          <w:sz w:val="20"/>
          <w:szCs w:val="20"/>
        </w:rPr>
        <w:t xml:space="preserve">here are no other </w:t>
      </w:r>
      <w:r w:rsidR="006C5FC1" w:rsidRPr="00644002">
        <w:rPr>
          <w:rFonts w:ascii="Times New Roman" w:hAnsi="Times New Roman"/>
          <w:color w:val="000000"/>
          <w:sz w:val="20"/>
          <w:szCs w:val="20"/>
        </w:rPr>
        <w:t xml:space="preserve">material events after the period end that has not been reflected in the Interim Financial Reports </w:t>
      </w:r>
      <w:r w:rsidR="005E5743">
        <w:rPr>
          <w:rFonts w:ascii="Times New Roman" w:hAnsi="Times New Roman"/>
          <w:color w:val="000000"/>
          <w:sz w:val="20"/>
          <w:szCs w:val="20"/>
        </w:rPr>
        <w:t xml:space="preserve">for the </w:t>
      </w:r>
      <w:r w:rsidR="00161019">
        <w:rPr>
          <w:rFonts w:ascii="Times New Roman" w:hAnsi="Times New Roman"/>
          <w:color w:val="000000"/>
          <w:sz w:val="20"/>
          <w:szCs w:val="20"/>
        </w:rPr>
        <w:t xml:space="preserve">current </w:t>
      </w:r>
      <w:r w:rsidR="005E5743">
        <w:rPr>
          <w:rFonts w:ascii="Times New Roman" w:hAnsi="Times New Roman"/>
          <w:color w:val="000000"/>
          <w:sz w:val="20"/>
          <w:szCs w:val="20"/>
        </w:rPr>
        <w:t xml:space="preserve">financial period </w:t>
      </w:r>
      <w:r w:rsidR="00161019">
        <w:rPr>
          <w:rFonts w:ascii="Times New Roman" w:hAnsi="Times New Roman"/>
          <w:color w:val="000000"/>
          <w:sz w:val="20"/>
          <w:szCs w:val="20"/>
        </w:rPr>
        <w:t>under review</w:t>
      </w:r>
      <w:r w:rsidR="006C5FC1" w:rsidRPr="00644002">
        <w:rPr>
          <w:rFonts w:ascii="Times New Roman" w:hAnsi="Times New Roman"/>
          <w:color w:val="000000"/>
          <w:sz w:val="20"/>
          <w:szCs w:val="20"/>
        </w:rPr>
        <w:t>.</w:t>
      </w:r>
    </w:p>
    <w:p w:rsidR="006C5FC1" w:rsidRDefault="006C5FC1"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8109B3" w:rsidRDefault="008109B3"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65242E" w:rsidRDefault="0065242E"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6C5FC1" w:rsidRPr="005C634D" w:rsidRDefault="006C5FC1" w:rsidP="006C5FC1">
      <w:pPr>
        <w:tabs>
          <w:tab w:val="left" w:pos="990"/>
        </w:tabs>
        <w:spacing w:after="0"/>
        <w:ind w:left="720" w:hanging="720"/>
        <w:rPr>
          <w:rFonts w:ascii="Times New Roman" w:hAnsi="Times New Roman"/>
          <w:b/>
          <w:bCs/>
          <w:sz w:val="20"/>
          <w:szCs w:val="20"/>
        </w:rPr>
      </w:pPr>
      <w:r w:rsidRPr="005C634D">
        <w:rPr>
          <w:rFonts w:ascii="Times New Roman" w:hAnsi="Times New Roman"/>
          <w:b/>
          <w:bCs/>
          <w:sz w:val="20"/>
          <w:szCs w:val="20"/>
        </w:rPr>
        <w:t>A1</w:t>
      </w:r>
      <w:r>
        <w:rPr>
          <w:rFonts w:ascii="Times New Roman" w:hAnsi="Times New Roman"/>
          <w:b/>
          <w:bCs/>
          <w:sz w:val="20"/>
          <w:szCs w:val="20"/>
        </w:rPr>
        <w:t>2</w:t>
      </w:r>
      <w:r w:rsidRPr="005C634D">
        <w:rPr>
          <w:rFonts w:ascii="Times New Roman" w:hAnsi="Times New Roman"/>
          <w:b/>
          <w:bCs/>
          <w:sz w:val="20"/>
          <w:szCs w:val="20"/>
        </w:rPr>
        <w:t>)</w:t>
      </w:r>
      <w:r w:rsidRPr="005C634D">
        <w:rPr>
          <w:rFonts w:ascii="Times New Roman" w:hAnsi="Times New Roman"/>
          <w:b/>
          <w:bCs/>
          <w:sz w:val="20"/>
          <w:szCs w:val="20"/>
        </w:rPr>
        <w:tab/>
        <w:t>Effect of changes in the composition of the Group</w:t>
      </w:r>
    </w:p>
    <w:p w:rsidR="006C5FC1" w:rsidRDefault="006C5FC1" w:rsidP="006C5FC1">
      <w:pPr>
        <w:widowControl w:val="0"/>
        <w:autoSpaceDE w:val="0"/>
        <w:autoSpaceDN w:val="0"/>
        <w:adjustRightInd w:val="0"/>
        <w:spacing w:after="0" w:line="280" w:lineRule="exact"/>
        <w:ind w:left="540" w:firstLine="324"/>
        <w:jc w:val="both"/>
        <w:rPr>
          <w:rFonts w:ascii="Times New Roman" w:hAnsi="Times New Roman"/>
          <w:color w:val="000000"/>
          <w:sz w:val="20"/>
          <w:szCs w:val="20"/>
        </w:rPr>
      </w:pPr>
    </w:p>
    <w:p w:rsidR="00A719E0" w:rsidRDefault="006C5FC1" w:rsidP="004F03D1">
      <w:pPr>
        <w:widowControl w:val="0"/>
        <w:autoSpaceDE w:val="0"/>
        <w:autoSpaceDN w:val="0"/>
        <w:adjustRightInd w:val="0"/>
        <w:spacing w:after="0" w:line="280" w:lineRule="exact"/>
        <w:ind w:left="720"/>
        <w:jc w:val="both"/>
        <w:rPr>
          <w:rFonts w:ascii="Times New Roman" w:hAnsi="Times New Roman"/>
          <w:color w:val="000000"/>
          <w:sz w:val="20"/>
          <w:szCs w:val="20"/>
        </w:rPr>
      </w:pPr>
      <w:r w:rsidRPr="00644002">
        <w:rPr>
          <w:rFonts w:ascii="Times New Roman" w:hAnsi="Times New Roman"/>
          <w:color w:val="000000"/>
          <w:sz w:val="20"/>
          <w:szCs w:val="20"/>
        </w:rPr>
        <w:t xml:space="preserve">There </w:t>
      </w:r>
      <w:r w:rsidR="00B4629C">
        <w:rPr>
          <w:rFonts w:ascii="Times New Roman" w:hAnsi="Times New Roman"/>
          <w:color w:val="000000"/>
          <w:sz w:val="20"/>
          <w:szCs w:val="20"/>
        </w:rPr>
        <w:t>were</w:t>
      </w:r>
      <w:r w:rsidR="003A70C6">
        <w:rPr>
          <w:rFonts w:ascii="Times New Roman" w:hAnsi="Times New Roman"/>
          <w:color w:val="000000"/>
          <w:sz w:val="20"/>
          <w:szCs w:val="20"/>
        </w:rPr>
        <w:t xml:space="preserve">  </w:t>
      </w:r>
      <w:r w:rsidRPr="00644002">
        <w:rPr>
          <w:rFonts w:ascii="Times New Roman" w:hAnsi="Times New Roman"/>
          <w:color w:val="000000"/>
          <w:sz w:val="20"/>
          <w:szCs w:val="20"/>
        </w:rPr>
        <w:t>no</w:t>
      </w:r>
      <w:r>
        <w:rPr>
          <w:rFonts w:ascii="Times New Roman" w:hAnsi="Times New Roman"/>
          <w:color w:val="000000"/>
          <w:sz w:val="20"/>
          <w:szCs w:val="20"/>
        </w:rPr>
        <w:t xml:space="preserve"> change</w:t>
      </w:r>
      <w:r w:rsidR="00B4629C">
        <w:rPr>
          <w:rFonts w:ascii="Times New Roman" w:hAnsi="Times New Roman"/>
          <w:color w:val="000000"/>
          <w:sz w:val="20"/>
          <w:szCs w:val="20"/>
        </w:rPr>
        <w:t>s</w:t>
      </w:r>
      <w:r w:rsidRPr="00644002">
        <w:rPr>
          <w:rFonts w:ascii="Times New Roman" w:hAnsi="Times New Roman"/>
          <w:color w:val="000000"/>
          <w:sz w:val="20"/>
          <w:szCs w:val="20"/>
        </w:rPr>
        <w:t xml:space="preserve"> in the composition of the Group for the </w:t>
      </w:r>
      <w:r w:rsidR="00B4629C">
        <w:rPr>
          <w:rFonts w:ascii="Times New Roman" w:hAnsi="Times New Roman"/>
          <w:color w:val="000000"/>
          <w:sz w:val="20"/>
          <w:szCs w:val="20"/>
        </w:rPr>
        <w:t>period</w:t>
      </w:r>
      <w:r>
        <w:rPr>
          <w:rFonts w:ascii="Times New Roman" w:hAnsi="Times New Roman"/>
          <w:color w:val="000000"/>
          <w:sz w:val="20"/>
          <w:szCs w:val="20"/>
        </w:rPr>
        <w:t xml:space="preserve"> under review</w:t>
      </w:r>
      <w:r w:rsidR="00B4629C">
        <w:rPr>
          <w:rFonts w:ascii="Times New Roman" w:hAnsi="Times New Roman"/>
          <w:color w:val="000000"/>
          <w:sz w:val="20"/>
          <w:szCs w:val="20"/>
        </w:rPr>
        <w:t xml:space="preserve">, </w:t>
      </w:r>
      <w:r w:rsidR="00A719E0">
        <w:rPr>
          <w:rFonts w:ascii="Times New Roman" w:hAnsi="Times New Roman"/>
          <w:color w:val="000000"/>
          <w:sz w:val="20"/>
          <w:szCs w:val="20"/>
        </w:rPr>
        <w:t>save</w:t>
      </w:r>
      <w:r w:rsidR="00B4629C">
        <w:rPr>
          <w:rFonts w:ascii="Times New Roman" w:hAnsi="Times New Roman"/>
          <w:color w:val="000000"/>
          <w:sz w:val="20"/>
          <w:szCs w:val="20"/>
        </w:rPr>
        <w:t xml:space="preserve"> for the </w:t>
      </w:r>
      <w:r w:rsidR="00A719E0">
        <w:rPr>
          <w:rFonts w:ascii="Times New Roman" w:hAnsi="Times New Roman"/>
          <w:color w:val="000000"/>
          <w:sz w:val="20"/>
          <w:szCs w:val="20"/>
        </w:rPr>
        <w:t>followings :-</w:t>
      </w:r>
    </w:p>
    <w:p w:rsidR="00A719E0" w:rsidRDefault="00A719E0" w:rsidP="00A719E0">
      <w:pPr>
        <w:pStyle w:val="ListParagraph"/>
        <w:widowControl w:val="0"/>
        <w:autoSpaceDE w:val="0"/>
        <w:autoSpaceDN w:val="0"/>
        <w:adjustRightInd w:val="0"/>
        <w:spacing w:line="280" w:lineRule="exact"/>
        <w:ind w:left="1080"/>
        <w:rPr>
          <w:rFonts w:ascii="Times New Roman" w:hAnsi="Times New Roman"/>
          <w:color w:val="000000"/>
          <w:sz w:val="20"/>
          <w:szCs w:val="20"/>
          <w:lang w:val="en-US"/>
        </w:rPr>
      </w:pPr>
    </w:p>
    <w:p w:rsidR="007B766D" w:rsidRPr="00A719E0" w:rsidRDefault="007B766D" w:rsidP="00A719E0">
      <w:pPr>
        <w:pStyle w:val="ListParagraph"/>
        <w:widowControl w:val="0"/>
        <w:numPr>
          <w:ilvl w:val="0"/>
          <w:numId w:val="17"/>
        </w:numPr>
        <w:autoSpaceDE w:val="0"/>
        <w:autoSpaceDN w:val="0"/>
        <w:adjustRightInd w:val="0"/>
        <w:spacing w:line="280" w:lineRule="exact"/>
        <w:rPr>
          <w:rFonts w:ascii="Times New Roman" w:hAnsi="Times New Roman"/>
          <w:color w:val="000000"/>
          <w:sz w:val="20"/>
          <w:szCs w:val="20"/>
          <w:lang w:val="en-US"/>
        </w:rPr>
      </w:pPr>
      <w:r w:rsidRPr="00A719E0">
        <w:rPr>
          <w:rFonts w:ascii="Times New Roman" w:hAnsi="Times New Roman"/>
          <w:color w:val="000000"/>
          <w:sz w:val="20"/>
          <w:szCs w:val="20"/>
          <w:lang w:val="en-US"/>
        </w:rPr>
        <w:t>Pursuant to members’ voluntary winding-up of CCM Chemtrade</w:t>
      </w:r>
      <w:r w:rsidR="008109B3">
        <w:rPr>
          <w:rFonts w:ascii="Times New Roman" w:hAnsi="Times New Roman"/>
          <w:color w:val="000000"/>
          <w:sz w:val="20"/>
          <w:szCs w:val="20"/>
          <w:lang w:val="en-US"/>
        </w:rPr>
        <w:t xml:space="preserve"> </w:t>
      </w:r>
      <w:r w:rsidRPr="00A719E0">
        <w:rPr>
          <w:rFonts w:ascii="Times New Roman" w:hAnsi="Times New Roman"/>
          <w:color w:val="000000"/>
          <w:sz w:val="20"/>
          <w:szCs w:val="20"/>
          <w:lang w:val="en-US"/>
        </w:rPr>
        <w:t>Sdn</w:t>
      </w:r>
      <w:r w:rsidR="008109B3">
        <w:rPr>
          <w:rFonts w:ascii="Times New Roman" w:hAnsi="Times New Roman"/>
          <w:color w:val="000000"/>
          <w:sz w:val="20"/>
          <w:szCs w:val="20"/>
          <w:lang w:val="en-US"/>
        </w:rPr>
        <w:t xml:space="preserve"> </w:t>
      </w:r>
      <w:r w:rsidRPr="00A719E0">
        <w:rPr>
          <w:rFonts w:ascii="Times New Roman" w:hAnsi="Times New Roman"/>
          <w:color w:val="000000"/>
          <w:sz w:val="20"/>
          <w:szCs w:val="20"/>
          <w:lang w:val="en-US"/>
        </w:rPr>
        <w:t>Bhd, the said company was dissolved on 19 February 2014.</w:t>
      </w:r>
    </w:p>
    <w:p w:rsidR="00A719E0" w:rsidRDefault="00A719E0" w:rsidP="00A719E0">
      <w:pPr>
        <w:pStyle w:val="ListParagraph"/>
        <w:widowControl w:val="0"/>
        <w:autoSpaceDE w:val="0"/>
        <w:autoSpaceDN w:val="0"/>
        <w:adjustRightInd w:val="0"/>
        <w:spacing w:line="280" w:lineRule="exact"/>
        <w:ind w:left="1080"/>
        <w:rPr>
          <w:rFonts w:ascii="Times New Roman" w:hAnsi="Times New Roman"/>
          <w:color w:val="000000"/>
          <w:sz w:val="20"/>
          <w:szCs w:val="20"/>
          <w:lang w:val="en-US"/>
        </w:rPr>
      </w:pPr>
    </w:p>
    <w:p w:rsidR="00A719E0" w:rsidRDefault="007B766D" w:rsidP="00A719E0">
      <w:pPr>
        <w:pStyle w:val="ListParagraph"/>
        <w:widowControl w:val="0"/>
        <w:numPr>
          <w:ilvl w:val="0"/>
          <w:numId w:val="17"/>
        </w:numPr>
        <w:autoSpaceDE w:val="0"/>
        <w:autoSpaceDN w:val="0"/>
        <w:adjustRightInd w:val="0"/>
        <w:spacing w:line="280" w:lineRule="exact"/>
        <w:rPr>
          <w:rFonts w:ascii="Times New Roman" w:hAnsi="Times New Roman"/>
          <w:color w:val="000000"/>
          <w:sz w:val="20"/>
          <w:szCs w:val="20"/>
          <w:lang w:val="en-US"/>
        </w:rPr>
      </w:pPr>
      <w:r w:rsidRPr="00A719E0">
        <w:rPr>
          <w:rFonts w:ascii="Times New Roman" w:hAnsi="Times New Roman"/>
          <w:color w:val="000000"/>
          <w:sz w:val="20"/>
          <w:szCs w:val="20"/>
          <w:lang w:val="en-US"/>
        </w:rPr>
        <w:t>Pursuant to members’ voluntary winding-up of the following subsidiaries:-</w:t>
      </w:r>
    </w:p>
    <w:p w:rsidR="00A719E0" w:rsidRPr="00A719E0" w:rsidRDefault="00A719E0" w:rsidP="00A719E0">
      <w:pPr>
        <w:pStyle w:val="ListParagraph"/>
        <w:rPr>
          <w:rFonts w:ascii="Times New Roman" w:hAnsi="Times New Roman"/>
          <w:color w:val="000000"/>
          <w:sz w:val="20"/>
          <w:szCs w:val="20"/>
          <w:lang w:val="en-US"/>
        </w:rPr>
      </w:pPr>
    </w:p>
    <w:p w:rsidR="00A719E0" w:rsidRDefault="00A719E0" w:rsidP="00A719E0">
      <w:pPr>
        <w:pStyle w:val="ListParagraph"/>
        <w:widowControl w:val="0"/>
        <w:numPr>
          <w:ilvl w:val="0"/>
          <w:numId w:val="20"/>
        </w:numPr>
        <w:autoSpaceDE w:val="0"/>
        <w:autoSpaceDN w:val="0"/>
        <w:adjustRightInd w:val="0"/>
        <w:spacing w:line="280" w:lineRule="exact"/>
        <w:rPr>
          <w:rFonts w:ascii="Times New Roman" w:hAnsi="Times New Roman"/>
          <w:color w:val="000000"/>
          <w:sz w:val="20"/>
          <w:szCs w:val="20"/>
          <w:lang w:val="en-US"/>
        </w:rPr>
      </w:pPr>
      <w:r w:rsidRPr="00A719E0">
        <w:rPr>
          <w:rFonts w:ascii="Times New Roman" w:hAnsi="Times New Roman"/>
          <w:color w:val="000000"/>
          <w:sz w:val="20"/>
          <w:szCs w:val="20"/>
          <w:lang w:val="en-US"/>
        </w:rPr>
        <w:t>CCMF Agronomic &amp; Technical Services Sdn</w:t>
      </w:r>
      <w:r w:rsidR="008109B3">
        <w:rPr>
          <w:rFonts w:ascii="Times New Roman" w:hAnsi="Times New Roman"/>
          <w:color w:val="000000"/>
          <w:sz w:val="20"/>
          <w:szCs w:val="20"/>
          <w:lang w:val="en-US"/>
        </w:rPr>
        <w:t xml:space="preserve"> </w:t>
      </w:r>
      <w:r w:rsidRPr="00A719E0">
        <w:rPr>
          <w:rFonts w:ascii="Times New Roman" w:hAnsi="Times New Roman"/>
          <w:color w:val="000000"/>
          <w:sz w:val="20"/>
          <w:szCs w:val="20"/>
          <w:lang w:val="en-US"/>
        </w:rPr>
        <w:t>Bhd</w:t>
      </w:r>
    </w:p>
    <w:p w:rsidR="00A719E0" w:rsidRDefault="00A719E0" w:rsidP="00A719E0">
      <w:pPr>
        <w:pStyle w:val="ListParagraph"/>
        <w:widowControl w:val="0"/>
        <w:numPr>
          <w:ilvl w:val="0"/>
          <w:numId w:val="20"/>
        </w:numPr>
        <w:autoSpaceDE w:val="0"/>
        <w:autoSpaceDN w:val="0"/>
        <w:adjustRightInd w:val="0"/>
        <w:spacing w:line="280" w:lineRule="exact"/>
        <w:rPr>
          <w:rFonts w:ascii="Times New Roman" w:hAnsi="Times New Roman"/>
          <w:color w:val="000000"/>
          <w:sz w:val="20"/>
          <w:szCs w:val="20"/>
          <w:lang w:val="en-US"/>
        </w:rPr>
      </w:pPr>
      <w:r w:rsidRPr="00A719E0">
        <w:rPr>
          <w:rFonts w:ascii="Times New Roman" w:hAnsi="Times New Roman"/>
          <w:color w:val="000000"/>
          <w:sz w:val="20"/>
          <w:szCs w:val="20"/>
          <w:lang w:val="en-US"/>
        </w:rPr>
        <w:t>Usaha Progresif</w:t>
      </w:r>
      <w:r w:rsidR="008109B3">
        <w:rPr>
          <w:rFonts w:ascii="Times New Roman" w:hAnsi="Times New Roman"/>
          <w:color w:val="000000"/>
          <w:sz w:val="20"/>
          <w:szCs w:val="20"/>
          <w:lang w:val="en-US"/>
        </w:rPr>
        <w:t xml:space="preserve"> </w:t>
      </w:r>
      <w:r w:rsidRPr="00A719E0">
        <w:rPr>
          <w:rFonts w:ascii="Times New Roman" w:hAnsi="Times New Roman"/>
          <w:color w:val="000000"/>
          <w:sz w:val="20"/>
          <w:szCs w:val="20"/>
          <w:lang w:val="en-US"/>
        </w:rPr>
        <w:t>Sdn</w:t>
      </w:r>
      <w:r w:rsidR="008109B3">
        <w:rPr>
          <w:rFonts w:ascii="Times New Roman" w:hAnsi="Times New Roman"/>
          <w:color w:val="000000"/>
          <w:sz w:val="20"/>
          <w:szCs w:val="20"/>
          <w:lang w:val="en-US"/>
        </w:rPr>
        <w:t xml:space="preserve"> </w:t>
      </w:r>
      <w:r w:rsidRPr="00A719E0">
        <w:rPr>
          <w:rFonts w:ascii="Times New Roman" w:hAnsi="Times New Roman"/>
          <w:color w:val="000000"/>
          <w:sz w:val="20"/>
          <w:szCs w:val="20"/>
          <w:lang w:val="en-US"/>
        </w:rPr>
        <w:t>Bhd</w:t>
      </w:r>
    </w:p>
    <w:p w:rsidR="00A719E0" w:rsidRDefault="00A719E0" w:rsidP="00A719E0">
      <w:pPr>
        <w:pStyle w:val="ListParagraph"/>
        <w:widowControl w:val="0"/>
        <w:numPr>
          <w:ilvl w:val="0"/>
          <w:numId w:val="20"/>
        </w:numPr>
        <w:autoSpaceDE w:val="0"/>
        <w:autoSpaceDN w:val="0"/>
        <w:adjustRightInd w:val="0"/>
        <w:spacing w:line="280" w:lineRule="exact"/>
        <w:rPr>
          <w:rFonts w:ascii="Times New Roman" w:hAnsi="Times New Roman"/>
          <w:color w:val="000000"/>
          <w:sz w:val="20"/>
          <w:szCs w:val="20"/>
          <w:lang w:val="en-US"/>
        </w:rPr>
      </w:pPr>
      <w:r>
        <w:rPr>
          <w:rFonts w:ascii="Times New Roman" w:hAnsi="Times New Roman"/>
          <w:color w:val="000000"/>
          <w:sz w:val="20"/>
          <w:szCs w:val="20"/>
          <w:lang w:val="en-US"/>
        </w:rPr>
        <w:t>Liberal Wira</w:t>
      </w:r>
      <w:r w:rsidR="008109B3">
        <w:rPr>
          <w:rFonts w:ascii="Times New Roman" w:hAnsi="Times New Roman"/>
          <w:color w:val="000000"/>
          <w:sz w:val="20"/>
          <w:szCs w:val="20"/>
          <w:lang w:val="en-US"/>
        </w:rPr>
        <w:t xml:space="preserve"> </w:t>
      </w:r>
      <w:r>
        <w:rPr>
          <w:rFonts w:ascii="Times New Roman" w:hAnsi="Times New Roman"/>
          <w:color w:val="000000"/>
          <w:sz w:val="20"/>
          <w:szCs w:val="20"/>
          <w:lang w:val="en-US"/>
        </w:rPr>
        <w:t>Sdn</w:t>
      </w:r>
      <w:r w:rsidR="008109B3">
        <w:rPr>
          <w:rFonts w:ascii="Times New Roman" w:hAnsi="Times New Roman"/>
          <w:color w:val="000000"/>
          <w:sz w:val="20"/>
          <w:szCs w:val="20"/>
          <w:lang w:val="en-US"/>
        </w:rPr>
        <w:t xml:space="preserve"> </w:t>
      </w:r>
      <w:r>
        <w:rPr>
          <w:rFonts w:ascii="Times New Roman" w:hAnsi="Times New Roman"/>
          <w:color w:val="000000"/>
          <w:sz w:val="20"/>
          <w:szCs w:val="20"/>
          <w:lang w:val="en-US"/>
        </w:rPr>
        <w:t>Bhd</w:t>
      </w:r>
    </w:p>
    <w:p w:rsidR="00A719E0" w:rsidRDefault="00A719E0" w:rsidP="00A719E0">
      <w:pPr>
        <w:pStyle w:val="ListParagraph"/>
        <w:widowControl w:val="0"/>
        <w:numPr>
          <w:ilvl w:val="0"/>
          <w:numId w:val="20"/>
        </w:numPr>
        <w:autoSpaceDE w:val="0"/>
        <w:autoSpaceDN w:val="0"/>
        <w:adjustRightInd w:val="0"/>
        <w:spacing w:line="280" w:lineRule="exact"/>
        <w:rPr>
          <w:rFonts w:ascii="Times New Roman" w:hAnsi="Times New Roman"/>
          <w:color w:val="000000"/>
          <w:sz w:val="20"/>
          <w:szCs w:val="20"/>
          <w:lang w:val="en-US"/>
        </w:rPr>
      </w:pPr>
      <w:r w:rsidRPr="00A719E0">
        <w:rPr>
          <w:rFonts w:ascii="Times New Roman" w:hAnsi="Times New Roman"/>
          <w:color w:val="000000"/>
          <w:sz w:val="20"/>
          <w:szCs w:val="20"/>
          <w:lang w:val="en-US"/>
        </w:rPr>
        <w:t>Euphorex  Corporation Sdn</w:t>
      </w:r>
      <w:r w:rsidR="008109B3">
        <w:rPr>
          <w:rFonts w:ascii="Times New Roman" w:hAnsi="Times New Roman"/>
          <w:color w:val="000000"/>
          <w:sz w:val="20"/>
          <w:szCs w:val="20"/>
          <w:lang w:val="en-US"/>
        </w:rPr>
        <w:t xml:space="preserve"> </w:t>
      </w:r>
      <w:r w:rsidRPr="00A719E0">
        <w:rPr>
          <w:rFonts w:ascii="Times New Roman" w:hAnsi="Times New Roman"/>
          <w:color w:val="000000"/>
          <w:sz w:val="20"/>
          <w:szCs w:val="20"/>
          <w:lang w:val="en-US"/>
        </w:rPr>
        <w:t>Bhd</w:t>
      </w:r>
    </w:p>
    <w:p w:rsidR="00A719E0" w:rsidRDefault="00A719E0" w:rsidP="00A719E0">
      <w:pPr>
        <w:pStyle w:val="ListParagraph"/>
        <w:widowControl w:val="0"/>
        <w:numPr>
          <w:ilvl w:val="0"/>
          <w:numId w:val="20"/>
        </w:numPr>
        <w:autoSpaceDE w:val="0"/>
        <w:autoSpaceDN w:val="0"/>
        <w:adjustRightInd w:val="0"/>
        <w:spacing w:line="280" w:lineRule="exact"/>
        <w:rPr>
          <w:rFonts w:ascii="Times New Roman" w:hAnsi="Times New Roman"/>
          <w:color w:val="000000"/>
          <w:sz w:val="20"/>
          <w:szCs w:val="20"/>
          <w:lang w:val="en-US"/>
        </w:rPr>
      </w:pPr>
      <w:r>
        <w:rPr>
          <w:rFonts w:ascii="Times New Roman" w:hAnsi="Times New Roman"/>
          <w:color w:val="000000"/>
          <w:sz w:val="20"/>
          <w:szCs w:val="20"/>
          <w:lang w:val="en-US"/>
        </w:rPr>
        <w:t>CCM Chemtrans</w:t>
      </w:r>
      <w:r w:rsidR="008109B3">
        <w:rPr>
          <w:rFonts w:ascii="Times New Roman" w:hAnsi="Times New Roman"/>
          <w:color w:val="000000"/>
          <w:sz w:val="20"/>
          <w:szCs w:val="20"/>
          <w:lang w:val="en-US"/>
        </w:rPr>
        <w:t xml:space="preserve"> </w:t>
      </w:r>
      <w:r>
        <w:rPr>
          <w:rFonts w:ascii="Times New Roman" w:hAnsi="Times New Roman"/>
          <w:color w:val="000000"/>
          <w:sz w:val="20"/>
          <w:szCs w:val="20"/>
          <w:lang w:val="en-US"/>
        </w:rPr>
        <w:t>Sdn</w:t>
      </w:r>
      <w:r w:rsidR="008109B3">
        <w:rPr>
          <w:rFonts w:ascii="Times New Roman" w:hAnsi="Times New Roman"/>
          <w:color w:val="000000"/>
          <w:sz w:val="20"/>
          <w:szCs w:val="20"/>
          <w:lang w:val="en-US"/>
        </w:rPr>
        <w:t xml:space="preserve"> </w:t>
      </w:r>
      <w:r>
        <w:rPr>
          <w:rFonts w:ascii="Times New Roman" w:hAnsi="Times New Roman"/>
          <w:color w:val="000000"/>
          <w:sz w:val="20"/>
          <w:szCs w:val="20"/>
          <w:lang w:val="en-US"/>
        </w:rPr>
        <w:t>Bhd</w:t>
      </w:r>
    </w:p>
    <w:p w:rsidR="00A719E0" w:rsidRPr="00A719E0" w:rsidRDefault="00A719E0" w:rsidP="00A719E0">
      <w:pPr>
        <w:widowControl w:val="0"/>
        <w:autoSpaceDE w:val="0"/>
        <w:autoSpaceDN w:val="0"/>
        <w:adjustRightInd w:val="0"/>
        <w:spacing w:line="280" w:lineRule="exact"/>
        <w:ind w:left="1468"/>
        <w:rPr>
          <w:rFonts w:ascii="Times New Roman" w:hAnsi="Times New Roman"/>
          <w:color w:val="000000"/>
          <w:sz w:val="20"/>
          <w:szCs w:val="20"/>
          <w:lang w:val="en-US"/>
        </w:rPr>
      </w:pPr>
      <w:r w:rsidRPr="00A719E0">
        <w:rPr>
          <w:rFonts w:ascii="Times New Roman" w:hAnsi="Times New Roman"/>
          <w:color w:val="000000"/>
          <w:sz w:val="20"/>
          <w:szCs w:val="20"/>
          <w:lang w:val="en-US"/>
        </w:rPr>
        <w:t>the said companies were dissolved with effect from 21 July 2014.</w:t>
      </w:r>
    </w:p>
    <w:p w:rsidR="00305D01" w:rsidRDefault="007B766D" w:rsidP="00305D01">
      <w:pPr>
        <w:widowControl w:val="0"/>
        <w:numPr>
          <w:ilvl w:val="0"/>
          <w:numId w:val="17"/>
        </w:numPr>
        <w:autoSpaceDE w:val="0"/>
        <w:autoSpaceDN w:val="0"/>
        <w:adjustRightInd w:val="0"/>
        <w:spacing w:after="0" w:line="280" w:lineRule="exact"/>
        <w:jc w:val="both"/>
        <w:rPr>
          <w:rFonts w:ascii="Times New Roman" w:hAnsi="Times New Roman"/>
          <w:color w:val="000000"/>
          <w:sz w:val="20"/>
          <w:szCs w:val="20"/>
          <w:lang w:val="en-US"/>
        </w:rPr>
      </w:pPr>
      <w:r w:rsidRPr="00A719E0">
        <w:rPr>
          <w:rFonts w:ascii="Times New Roman" w:hAnsi="Times New Roman"/>
          <w:color w:val="000000"/>
          <w:sz w:val="20"/>
          <w:szCs w:val="20"/>
          <w:lang w:val="en-US"/>
        </w:rPr>
        <w:t>On 27 June 2014, a Proposed Internal Restructuring Exercise was announced involving the disposal of the Company’s 50.1% equity interest in CCM Fertilizers Sdn</w:t>
      </w:r>
      <w:r w:rsidR="008109B3">
        <w:rPr>
          <w:rFonts w:ascii="Times New Roman" w:hAnsi="Times New Roman"/>
          <w:color w:val="000000"/>
          <w:sz w:val="20"/>
          <w:szCs w:val="20"/>
          <w:lang w:val="en-US"/>
        </w:rPr>
        <w:t xml:space="preserve"> </w:t>
      </w:r>
      <w:r w:rsidRPr="00A719E0">
        <w:rPr>
          <w:rFonts w:ascii="Times New Roman" w:hAnsi="Times New Roman"/>
          <w:color w:val="000000"/>
          <w:sz w:val="20"/>
          <w:szCs w:val="20"/>
          <w:lang w:val="en-US"/>
        </w:rPr>
        <w:t>Bhd and 100% equity interest in both CCM Agriculture Sdn</w:t>
      </w:r>
      <w:r w:rsidR="008109B3">
        <w:rPr>
          <w:rFonts w:ascii="Times New Roman" w:hAnsi="Times New Roman"/>
          <w:color w:val="000000"/>
          <w:sz w:val="20"/>
          <w:szCs w:val="20"/>
          <w:lang w:val="en-US"/>
        </w:rPr>
        <w:t xml:space="preserve">  </w:t>
      </w:r>
      <w:r w:rsidRPr="00A719E0">
        <w:rPr>
          <w:rFonts w:ascii="Times New Roman" w:hAnsi="Times New Roman"/>
          <w:color w:val="000000"/>
          <w:sz w:val="20"/>
          <w:szCs w:val="20"/>
          <w:lang w:val="en-US"/>
        </w:rPr>
        <w:t>Bhd and CCM Agriculture (Sabah) Sdn</w:t>
      </w:r>
      <w:r w:rsidR="008109B3">
        <w:rPr>
          <w:rFonts w:ascii="Times New Roman" w:hAnsi="Times New Roman"/>
          <w:color w:val="000000"/>
          <w:sz w:val="20"/>
          <w:szCs w:val="20"/>
          <w:lang w:val="en-US"/>
        </w:rPr>
        <w:t xml:space="preserve">  </w:t>
      </w:r>
      <w:r w:rsidRPr="00A719E0">
        <w:rPr>
          <w:rFonts w:ascii="Times New Roman" w:hAnsi="Times New Roman"/>
          <w:color w:val="000000"/>
          <w:sz w:val="20"/>
          <w:szCs w:val="20"/>
          <w:lang w:val="en-US"/>
        </w:rPr>
        <w:t>Bhd to the Company’s wholly-owned subsidiary, CCM Agri-Max Sdn Bhd.  The exercise was completed on 19 November 2014.</w:t>
      </w:r>
    </w:p>
    <w:p w:rsidR="00305D01" w:rsidRDefault="00305D01" w:rsidP="00305D01">
      <w:pPr>
        <w:widowControl w:val="0"/>
        <w:autoSpaceDE w:val="0"/>
        <w:autoSpaceDN w:val="0"/>
        <w:adjustRightInd w:val="0"/>
        <w:spacing w:after="0" w:line="280" w:lineRule="exact"/>
        <w:ind w:left="1080"/>
        <w:jc w:val="both"/>
        <w:rPr>
          <w:rFonts w:ascii="Times New Roman" w:hAnsi="Times New Roman"/>
          <w:color w:val="000000"/>
          <w:sz w:val="20"/>
          <w:szCs w:val="20"/>
          <w:lang w:val="en-US"/>
        </w:rPr>
      </w:pPr>
    </w:p>
    <w:p w:rsidR="003D7DBF" w:rsidRPr="00305D01" w:rsidRDefault="00A921B4" w:rsidP="003A70C6">
      <w:pPr>
        <w:widowControl w:val="0"/>
        <w:autoSpaceDE w:val="0"/>
        <w:autoSpaceDN w:val="0"/>
        <w:adjustRightInd w:val="0"/>
        <w:spacing w:after="0" w:line="280" w:lineRule="exact"/>
        <w:ind w:left="0" w:firstLine="720"/>
        <w:jc w:val="both"/>
        <w:rPr>
          <w:rFonts w:ascii="Times New Roman" w:hAnsi="Times New Roman"/>
          <w:color w:val="000000"/>
          <w:sz w:val="20"/>
          <w:szCs w:val="20"/>
          <w:lang w:val="en-US"/>
        </w:rPr>
      </w:pPr>
      <w:r w:rsidRPr="00305D01">
        <w:rPr>
          <w:rFonts w:ascii="Times New Roman" w:hAnsi="Times New Roman"/>
          <w:color w:val="000000"/>
          <w:sz w:val="20"/>
          <w:szCs w:val="20"/>
        </w:rPr>
        <w:t xml:space="preserve">The changes </w:t>
      </w:r>
      <w:r w:rsidR="00B4629C" w:rsidRPr="00305D01">
        <w:rPr>
          <w:rFonts w:ascii="Times New Roman" w:hAnsi="Times New Roman"/>
          <w:color w:val="000000"/>
          <w:sz w:val="20"/>
          <w:szCs w:val="20"/>
        </w:rPr>
        <w:t xml:space="preserve">did not give rise to any material effect on the </w:t>
      </w:r>
      <w:r w:rsidR="00597F0B" w:rsidRPr="00305D01">
        <w:rPr>
          <w:rFonts w:ascii="Times New Roman" w:hAnsi="Times New Roman"/>
          <w:color w:val="000000"/>
          <w:sz w:val="20"/>
          <w:szCs w:val="20"/>
        </w:rPr>
        <w:t xml:space="preserve">composition of </w:t>
      </w:r>
      <w:r w:rsidR="00B4629C" w:rsidRPr="00305D01">
        <w:rPr>
          <w:rFonts w:ascii="Times New Roman" w:hAnsi="Times New Roman"/>
          <w:color w:val="000000"/>
          <w:sz w:val="20"/>
          <w:szCs w:val="20"/>
        </w:rPr>
        <w:t>Group</w:t>
      </w:r>
      <w:r w:rsidR="00597F0B" w:rsidRPr="00305D01">
        <w:rPr>
          <w:rFonts w:ascii="Times New Roman" w:hAnsi="Times New Roman"/>
          <w:color w:val="000000"/>
          <w:sz w:val="20"/>
          <w:szCs w:val="20"/>
        </w:rPr>
        <w:t xml:space="preserve"> for the period under review</w:t>
      </w:r>
      <w:r w:rsidR="00B4629C" w:rsidRPr="00305D01">
        <w:rPr>
          <w:rFonts w:ascii="Times New Roman" w:hAnsi="Times New Roman"/>
          <w:color w:val="000000"/>
          <w:sz w:val="20"/>
          <w:szCs w:val="20"/>
        </w:rPr>
        <w:t>.</w:t>
      </w:r>
    </w:p>
    <w:p w:rsidR="003D7DBF" w:rsidRPr="00644002" w:rsidRDefault="003D7DBF" w:rsidP="006C5FC1">
      <w:pPr>
        <w:widowControl w:val="0"/>
        <w:autoSpaceDE w:val="0"/>
        <w:autoSpaceDN w:val="0"/>
        <w:adjustRightInd w:val="0"/>
        <w:spacing w:after="0" w:line="280" w:lineRule="exact"/>
        <w:ind w:left="540"/>
        <w:rPr>
          <w:rFonts w:ascii="Times New Roman" w:hAnsi="Times New Roman"/>
          <w:color w:val="000000"/>
          <w:sz w:val="20"/>
          <w:szCs w:val="20"/>
        </w:rPr>
      </w:pPr>
    </w:p>
    <w:p w:rsidR="006C5FC1" w:rsidRPr="00BC31EC" w:rsidRDefault="006C5FC1" w:rsidP="006C5FC1">
      <w:pPr>
        <w:tabs>
          <w:tab w:val="left" w:pos="990"/>
        </w:tabs>
        <w:spacing w:after="0"/>
        <w:ind w:left="720" w:hanging="720"/>
        <w:rPr>
          <w:rFonts w:ascii="Times New Roman" w:hAnsi="Times New Roman"/>
          <w:b/>
          <w:bCs/>
          <w:sz w:val="20"/>
          <w:szCs w:val="20"/>
        </w:rPr>
      </w:pPr>
      <w:r w:rsidRPr="00BC31EC">
        <w:rPr>
          <w:rFonts w:ascii="Times New Roman" w:hAnsi="Times New Roman"/>
          <w:b/>
          <w:bCs/>
          <w:sz w:val="20"/>
          <w:szCs w:val="20"/>
        </w:rPr>
        <w:t>A1</w:t>
      </w:r>
      <w:r>
        <w:rPr>
          <w:rFonts w:ascii="Times New Roman" w:hAnsi="Times New Roman"/>
          <w:b/>
          <w:bCs/>
          <w:sz w:val="20"/>
          <w:szCs w:val="20"/>
        </w:rPr>
        <w:t>3</w:t>
      </w:r>
      <w:r w:rsidRPr="00BC31EC">
        <w:rPr>
          <w:rFonts w:ascii="Times New Roman" w:hAnsi="Times New Roman"/>
          <w:b/>
          <w:bCs/>
          <w:sz w:val="20"/>
          <w:szCs w:val="20"/>
        </w:rPr>
        <w:t>)</w:t>
      </w:r>
      <w:r w:rsidRPr="00BC31EC">
        <w:rPr>
          <w:rFonts w:ascii="Times New Roman" w:hAnsi="Times New Roman"/>
          <w:b/>
          <w:bCs/>
          <w:sz w:val="20"/>
          <w:szCs w:val="20"/>
        </w:rPr>
        <w:tab/>
        <w:t>Changes in contingent liabilities or contingent assets since the last annual balance sheet date</w:t>
      </w:r>
    </w:p>
    <w:p w:rsidR="006C5FC1" w:rsidRDefault="006C5FC1" w:rsidP="006C5FC1">
      <w:pPr>
        <w:widowControl w:val="0"/>
        <w:autoSpaceDE w:val="0"/>
        <w:autoSpaceDN w:val="0"/>
        <w:adjustRightInd w:val="0"/>
        <w:spacing w:after="0" w:line="293" w:lineRule="exact"/>
        <w:ind w:left="540" w:firstLine="324"/>
        <w:jc w:val="both"/>
        <w:rPr>
          <w:rFonts w:ascii="Times New Roman" w:hAnsi="Times New Roman"/>
          <w:color w:val="000000"/>
          <w:sz w:val="20"/>
          <w:szCs w:val="20"/>
        </w:rPr>
      </w:pPr>
    </w:p>
    <w:p w:rsidR="00D60483" w:rsidRDefault="006C5FC1" w:rsidP="00D60483">
      <w:pPr>
        <w:widowControl w:val="0"/>
        <w:autoSpaceDE w:val="0"/>
        <w:autoSpaceDN w:val="0"/>
        <w:adjustRightInd w:val="0"/>
        <w:spacing w:after="0" w:line="293" w:lineRule="exact"/>
        <w:ind w:left="720"/>
        <w:jc w:val="both"/>
        <w:rPr>
          <w:rFonts w:ascii="Times New Roman" w:hAnsi="Times New Roman"/>
          <w:color w:val="000000"/>
          <w:sz w:val="20"/>
          <w:szCs w:val="20"/>
        </w:rPr>
      </w:pPr>
      <w:r w:rsidRPr="00186FB0">
        <w:rPr>
          <w:rFonts w:ascii="Times New Roman" w:hAnsi="Times New Roman"/>
          <w:color w:val="000000"/>
          <w:sz w:val="20"/>
          <w:szCs w:val="20"/>
        </w:rPr>
        <w:t>There were no changes in contingent liabilities or assets as at end of the c</w:t>
      </w:r>
      <w:r w:rsidR="00776D0C" w:rsidRPr="00186FB0">
        <w:rPr>
          <w:rFonts w:ascii="Times New Roman" w:hAnsi="Times New Roman"/>
          <w:color w:val="000000"/>
          <w:sz w:val="20"/>
          <w:szCs w:val="20"/>
        </w:rPr>
        <w:t xml:space="preserve">urrent interim financial period save for the </w:t>
      </w:r>
      <w:r w:rsidR="00E01D34" w:rsidRPr="00186FB0">
        <w:rPr>
          <w:rFonts w:ascii="Times New Roman" w:hAnsi="Times New Roman"/>
          <w:color w:val="000000"/>
          <w:sz w:val="20"/>
          <w:szCs w:val="20"/>
        </w:rPr>
        <w:t>following:</w:t>
      </w:r>
    </w:p>
    <w:p w:rsidR="00D60483" w:rsidRDefault="00D60483" w:rsidP="00D60483">
      <w:pPr>
        <w:widowControl w:val="0"/>
        <w:autoSpaceDE w:val="0"/>
        <w:autoSpaceDN w:val="0"/>
        <w:adjustRightInd w:val="0"/>
        <w:spacing w:after="0" w:line="293" w:lineRule="exact"/>
        <w:ind w:left="720"/>
        <w:jc w:val="both"/>
        <w:rPr>
          <w:rFonts w:ascii="Times New Roman" w:hAnsi="Times New Roman"/>
          <w:color w:val="000000"/>
          <w:sz w:val="20"/>
          <w:szCs w:val="20"/>
        </w:rPr>
      </w:pPr>
    </w:p>
    <w:p w:rsidR="00D60483" w:rsidRDefault="00D60483" w:rsidP="00D60483">
      <w:pPr>
        <w:widowControl w:val="0"/>
        <w:autoSpaceDE w:val="0"/>
        <w:autoSpaceDN w:val="0"/>
        <w:adjustRightInd w:val="0"/>
        <w:spacing w:after="0" w:line="293" w:lineRule="exact"/>
        <w:ind w:left="720"/>
        <w:jc w:val="both"/>
        <w:rPr>
          <w:rFonts w:ascii="Times New Roman" w:hAnsi="Times New Roman"/>
          <w:sz w:val="20"/>
          <w:szCs w:val="20"/>
          <w:lang w:val="en-US" w:bidi="ar-SA"/>
        </w:rPr>
      </w:pPr>
      <w:r w:rsidRPr="00D60483">
        <w:rPr>
          <w:rFonts w:ascii="Times New Roman" w:hAnsi="Times New Roman"/>
          <w:sz w:val="20"/>
          <w:szCs w:val="20"/>
          <w:lang w:val="en-US" w:bidi="ar-SA"/>
        </w:rPr>
        <w:t>PT CCMI had on 23 September 2014 submitted 5 letters of appeal to the Indonesian Tax Court against the objection decisions of the Director General of Tax, Indonesia (“DGT”) on several tax adjustments / corrections made by tax auditor totaling IDR36.1 billion (or equivalent to RM9.7 million) in aggregate.  The DGT has submitted to the Tax Court its replies to the letters of appeal. PT CCMI has filed into the Tax Court its rebuttals to two of the appeals by the deadline for doing so i.e. 16 February 2015.  PT CCMI's rebuttals in respect of the DGT's replies to the other appeals are required to be filed into the Tax Court as follows:-</w:t>
      </w:r>
    </w:p>
    <w:p w:rsidR="00D60483" w:rsidRDefault="00D60483" w:rsidP="00D60483">
      <w:pPr>
        <w:pStyle w:val="ListParagraph"/>
        <w:widowControl w:val="0"/>
        <w:numPr>
          <w:ilvl w:val="0"/>
          <w:numId w:val="16"/>
        </w:numPr>
        <w:autoSpaceDE w:val="0"/>
        <w:autoSpaceDN w:val="0"/>
        <w:adjustRightInd w:val="0"/>
        <w:spacing w:after="0" w:line="293" w:lineRule="exact"/>
        <w:jc w:val="both"/>
        <w:rPr>
          <w:rFonts w:ascii="Times New Roman" w:hAnsi="Times New Roman"/>
          <w:sz w:val="20"/>
          <w:szCs w:val="20"/>
          <w:lang w:val="en-US" w:bidi="ar-SA"/>
        </w:rPr>
      </w:pPr>
      <w:r w:rsidRPr="00D60483">
        <w:rPr>
          <w:rFonts w:ascii="Times New Roman" w:hAnsi="Times New Roman"/>
          <w:sz w:val="20"/>
          <w:szCs w:val="20"/>
          <w:lang w:val="en-US" w:bidi="ar-SA"/>
        </w:rPr>
        <w:t>for two of the appeals, by 3 March 2015; and</w:t>
      </w:r>
    </w:p>
    <w:p w:rsidR="00D60483" w:rsidRPr="00D60483" w:rsidRDefault="00D60483" w:rsidP="00D60483">
      <w:pPr>
        <w:pStyle w:val="ListParagraph"/>
        <w:widowControl w:val="0"/>
        <w:numPr>
          <w:ilvl w:val="0"/>
          <w:numId w:val="16"/>
        </w:numPr>
        <w:autoSpaceDE w:val="0"/>
        <w:autoSpaceDN w:val="0"/>
        <w:adjustRightInd w:val="0"/>
        <w:spacing w:after="0" w:line="293" w:lineRule="exact"/>
        <w:jc w:val="both"/>
        <w:rPr>
          <w:rFonts w:ascii="Times New Roman" w:hAnsi="Times New Roman"/>
          <w:sz w:val="20"/>
          <w:szCs w:val="20"/>
          <w:lang w:val="en-US" w:bidi="ar-SA"/>
        </w:rPr>
      </w:pPr>
      <w:r w:rsidRPr="00D60483">
        <w:rPr>
          <w:rFonts w:ascii="Times New Roman" w:hAnsi="Times New Roman"/>
          <w:sz w:val="20"/>
          <w:szCs w:val="20"/>
          <w:lang w:val="en-US" w:bidi="ar-SA"/>
        </w:rPr>
        <w:t>for the remaining appeal, by 10 March 2015.</w:t>
      </w:r>
    </w:p>
    <w:p w:rsidR="00E11F34" w:rsidRDefault="00E11F34" w:rsidP="00644002">
      <w:pPr>
        <w:widowControl w:val="0"/>
        <w:autoSpaceDE w:val="0"/>
        <w:autoSpaceDN w:val="0"/>
        <w:adjustRightInd w:val="0"/>
        <w:spacing w:after="0" w:line="293" w:lineRule="exact"/>
        <w:ind w:left="540"/>
        <w:rPr>
          <w:rFonts w:ascii="Times New Roman" w:hAnsi="Times New Roman"/>
          <w:color w:val="000000"/>
          <w:sz w:val="20"/>
          <w:szCs w:val="20"/>
        </w:rPr>
      </w:pPr>
    </w:p>
    <w:p w:rsidR="001F4973" w:rsidRDefault="001F4973" w:rsidP="00644002">
      <w:pPr>
        <w:widowControl w:val="0"/>
        <w:autoSpaceDE w:val="0"/>
        <w:autoSpaceDN w:val="0"/>
        <w:adjustRightInd w:val="0"/>
        <w:spacing w:after="0" w:line="293" w:lineRule="exact"/>
        <w:ind w:left="540"/>
        <w:rPr>
          <w:rFonts w:ascii="Times New Roman" w:hAnsi="Times New Roman"/>
          <w:color w:val="000000"/>
          <w:sz w:val="20"/>
          <w:szCs w:val="20"/>
        </w:rPr>
      </w:pPr>
    </w:p>
    <w:p w:rsidR="001F4973" w:rsidRDefault="001F4973" w:rsidP="00644002">
      <w:pPr>
        <w:widowControl w:val="0"/>
        <w:autoSpaceDE w:val="0"/>
        <w:autoSpaceDN w:val="0"/>
        <w:adjustRightInd w:val="0"/>
        <w:spacing w:after="0" w:line="293" w:lineRule="exact"/>
        <w:ind w:left="540"/>
        <w:rPr>
          <w:rFonts w:ascii="Times New Roman" w:hAnsi="Times New Roman"/>
          <w:color w:val="000000"/>
          <w:sz w:val="20"/>
          <w:szCs w:val="20"/>
        </w:rPr>
      </w:pPr>
    </w:p>
    <w:p w:rsidR="008109B3" w:rsidRDefault="008109B3" w:rsidP="00644002">
      <w:pPr>
        <w:widowControl w:val="0"/>
        <w:autoSpaceDE w:val="0"/>
        <w:autoSpaceDN w:val="0"/>
        <w:adjustRightInd w:val="0"/>
        <w:spacing w:after="0" w:line="293" w:lineRule="exact"/>
        <w:ind w:left="540"/>
        <w:rPr>
          <w:rFonts w:ascii="Times New Roman" w:hAnsi="Times New Roman"/>
          <w:color w:val="000000"/>
          <w:sz w:val="20"/>
          <w:szCs w:val="20"/>
        </w:rPr>
      </w:pPr>
    </w:p>
    <w:p w:rsidR="00E11F34" w:rsidRPr="00847EAE" w:rsidRDefault="00E11F34" w:rsidP="002A0DB7">
      <w:pPr>
        <w:tabs>
          <w:tab w:val="left" w:pos="990"/>
        </w:tabs>
        <w:spacing w:after="0"/>
        <w:ind w:left="720" w:hanging="720"/>
        <w:rPr>
          <w:rFonts w:ascii="Times New Roman" w:hAnsi="Times New Roman"/>
          <w:b/>
          <w:bCs/>
          <w:sz w:val="20"/>
          <w:szCs w:val="20"/>
        </w:rPr>
      </w:pPr>
      <w:r w:rsidRPr="00847EAE">
        <w:rPr>
          <w:rFonts w:ascii="Times New Roman" w:hAnsi="Times New Roman"/>
          <w:b/>
          <w:bCs/>
          <w:sz w:val="20"/>
          <w:szCs w:val="20"/>
        </w:rPr>
        <w:t>A1</w:t>
      </w:r>
      <w:r w:rsidR="006C5FC1">
        <w:rPr>
          <w:rFonts w:ascii="Times New Roman" w:hAnsi="Times New Roman"/>
          <w:b/>
          <w:bCs/>
          <w:sz w:val="20"/>
          <w:szCs w:val="20"/>
        </w:rPr>
        <w:t>4</w:t>
      </w:r>
      <w:r w:rsidRPr="00847EAE">
        <w:rPr>
          <w:rFonts w:ascii="Times New Roman" w:hAnsi="Times New Roman"/>
          <w:b/>
          <w:bCs/>
          <w:sz w:val="20"/>
          <w:szCs w:val="20"/>
        </w:rPr>
        <w:t>)</w:t>
      </w:r>
      <w:r w:rsidR="00BC31EC" w:rsidRPr="00847EAE">
        <w:rPr>
          <w:rFonts w:ascii="Times New Roman" w:hAnsi="Times New Roman"/>
          <w:b/>
          <w:bCs/>
          <w:sz w:val="20"/>
          <w:szCs w:val="20"/>
        </w:rPr>
        <w:tab/>
      </w:r>
      <w:r w:rsidRPr="00847EAE">
        <w:rPr>
          <w:rFonts w:ascii="Times New Roman" w:hAnsi="Times New Roman"/>
          <w:b/>
          <w:bCs/>
          <w:sz w:val="20"/>
          <w:szCs w:val="20"/>
        </w:rPr>
        <w:t>Capital Commitments</w:t>
      </w:r>
    </w:p>
    <w:p w:rsidR="008251A6" w:rsidRPr="00847EAE" w:rsidRDefault="008251A6" w:rsidP="008251A6">
      <w:pPr>
        <w:widowControl w:val="0"/>
        <w:autoSpaceDE w:val="0"/>
        <w:autoSpaceDN w:val="0"/>
        <w:adjustRightInd w:val="0"/>
        <w:spacing w:after="0" w:line="280" w:lineRule="exact"/>
        <w:ind w:left="540" w:firstLine="324"/>
        <w:jc w:val="both"/>
        <w:rPr>
          <w:rFonts w:ascii="Times New Roman" w:hAnsi="Times New Roman"/>
          <w:sz w:val="20"/>
          <w:szCs w:val="20"/>
        </w:rPr>
      </w:pPr>
    </w:p>
    <w:p w:rsidR="00E11F34" w:rsidRPr="006A05A0" w:rsidRDefault="00E11F34" w:rsidP="002A0DB7">
      <w:pPr>
        <w:widowControl w:val="0"/>
        <w:autoSpaceDE w:val="0"/>
        <w:autoSpaceDN w:val="0"/>
        <w:adjustRightInd w:val="0"/>
        <w:spacing w:after="0" w:line="280" w:lineRule="exact"/>
        <w:ind w:left="720"/>
        <w:jc w:val="both"/>
        <w:rPr>
          <w:rFonts w:ascii="Times New Roman" w:hAnsi="Times New Roman"/>
          <w:sz w:val="20"/>
          <w:szCs w:val="20"/>
        </w:rPr>
      </w:pPr>
      <w:r w:rsidRPr="006A05A0">
        <w:rPr>
          <w:rFonts w:ascii="Times New Roman" w:hAnsi="Times New Roman"/>
          <w:sz w:val="20"/>
          <w:szCs w:val="20"/>
        </w:rPr>
        <w:t>Commitments for the purchase of property, plant and equipment</w:t>
      </w:r>
      <w:r w:rsidR="00CB19E1">
        <w:rPr>
          <w:rFonts w:ascii="Times New Roman" w:hAnsi="Times New Roman"/>
          <w:sz w:val="20"/>
          <w:szCs w:val="20"/>
        </w:rPr>
        <w:t>s</w:t>
      </w:r>
      <w:r w:rsidR="005C40BA">
        <w:rPr>
          <w:rFonts w:ascii="Times New Roman" w:hAnsi="Times New Roman"/>
          <w:sz w:val="20"/>
          <w:szCs w:val="20"/>
        </w:rPr>
        <w:t xml:space="preserve"> as at 31December</w:t>
      </w:r>
      <w:r w:rsidRPr="006A05A0">
        <w:rPr>
          <w:rFonts w:ascii="Times New Roman" w:hAnsi="Times New Roman"/>
          <w:sz w:val="20"/>
          <w:szCs w:val="20"/>
        </w:rPr>
        <w:t>201</w:t>
      </w:r>
      <w:r w:rsidR="00A5026C">
        <w:rPr>
          <w:rFonts w:ascii="Times New Roman" w:hAnsi="Times New Roman"/>
          <w:sz w:val="20"/>
          <w:szCs w:val="20"/>
        </w:rPr>
        <w:t>4</w:t>
      </w:r>
      <w:r w:rsidRPr="006A05A0">
        <w:rPr>
          <w:rFonts w:ascii="Times New Roman" w:hAnsi="Times New Roman"/>
          <w:sz w:val="20"/>
          <w:szCs w:val="20"/>
        </w:rPr>
        <w:t>.</w:t>
      </w:r>
    </w:p>
    <w:p w:rsidR="007B1CD0" w:rsidRDefault="007B1CD0" w:rsidP="00463AD9">
      <w:pPr>
        <w:spacing w:after="0"/>
        <w:ind w:left="540"/>
        <w:rPr>
          <w:rFonts w:ascii="Times New Roman" w:hAnsi="Times New Roman"/>
          <w:b/>
          <w:bCs/>
          <w:sz w:val="20"/>
          <w:szCs w:val="20"/>
          <w:u w:val="single"/>
        </w:rPr>
      </w:pPr>
    </w:p>
    <w:tbl>
      <w:tblPr>
        <w:tblW w:w="3305" w:type="pct"/>
        <w:tblInd w:w="864" w:type="dxa"/>
        <w:tblLook w:val="04A0" w:firstRow="1" w:lastRow="0" w:firstColumn="1" w:lastColumn="0" w:noHBand="0" w:noVBand="1"/>
      </w:tblPr>
      <w:tblGrid>
        <w:gridCol w:w="3340"/>
        <w:gridCol w:w="1630"/>
        <w:gridCol w:w="222"/>
        <w:gridCol w:w="1630"/>
      </w:tblGrid>
      <w:tr w:rsidR="007B1CD0" w:rsidRPr="007B1CD0" w:rsidTr="009F1DC8">
        <w:trPr>
          <w:trHeight w:val="278"/>
        </w:trPr>
        <w:tc>
          <w:tcPr>
            <w:tcW w:w="2424" w:type="pct"/>
            <w:shd w:val="clear" w:color="auto" w:fill="auto"/>
            <w:noWrap/>
            <w:vAlign w:val="bottom"/>
            <w:hideMark/>
          </w:tcPr>
          <w:p w:rsidR="007B1CD0" w:rsidRPr="007B1CD0" w:rsidRDefault="007B1CD0" w:rsidP="007B1CD0">
            <w:pPr>
              <w:spacing w:after="0" w:line="240" w:lineRule="auto"/>
              <w:rPr>
                <w:rFonts w:ascii="Times New Roman" w:hAnsi="Times New Roman"/>
                <w:sz w:val="20"/>
                <w:szCs w:val="20"/>
                <w:lang w:val="en-US" w:bidi="ar-SA"/>
              </w:rPr>
            </w:pPr>
          </w:p>
        </w:tc>
        <w:tc>
          <w:tcPr>
            <w:tcW w:w="1056" w:type="pct"/>
            <w:shd w:val="clear" w:color="auto" w:fill="auto"/>
            <w:vAlign w:val="bottom"/>
            <w:hideMark/>
          </w:tcPr>
          <w:p w:rsidR="007B1CD0" w:rsidRPr="003A7480" w:rsidRDefault="007B1CD0" w:rsidP="007B1CD0">
            <w:pPr>
              <w:spacing w:after="0" w:line="240" w:lineRule="auto"/>
              <w:jc w:val="center"/>
              <w:rPr>
                <w:rFonts w:ascii="Times New Roman" w:hAnsi="Times New Roman"/>
                <w:b/>
                <w:bCs/>
                <w:sz w:val="20"/>
                <w:szCs w:val="20"/>
                <w:lang w:val="en-US" w:bidi="ar-SA"/>
              </w:rPr>
            </w:pPr>
            <w:r w:rsidRPr="003A7480">
              <w:rPr>
                <w:rFonts w:ascii="Times New Roman" w:hAnsi="Times New Roman"/>
                <w:b/>
                <w:bCs/>
                <w:sz w:val="20"/>
                <w:szCs w:val="20"/>
                <w:lang w:val="en-US" w:bidi="ar-SA"/>
              </w:rPr>
              <w:t xml:space="preserve">At </w:t>
            </w:r>
          </w:p>
          <w:p w:rsidR="005E5743" w:rsidRPr="003A7480" w:rsidRDefault="00155493" w:rsidP="007B1CD0">
            <w:pPr>
              <w:spacing w:after="0" w:line="240" w:lineRule="auto"/>
              <w:jc w:val="center"/>
              <w:rPr>
                <w:rFonts w:ascii="Times New Roman" w:hAnsi="Times New Roman"/>
                <w:b/>
                <w:bCs/>
                <w:sz w:val="20"/>
                <w:szCs w:val="20"/>
                <w:lang w:val="en-US" w:bidi="ar-SA"/>
              </w:rPr>
            </w:pPr>
            <w:r>
              <w:rPr>
                <w:rFonts w:ascii="Times New Roman" w:hAnsi="Times New Roman"/>
                <w:b/>
                <w:bCs/>
                <w:sz w:val="20"/>
                <w:szCs w:val="20"/>
                <w:lang w:val="en-US" w:bidi="ar-SA"/>
              </w:rPr>
              <w:t>31 December</w:t>
            </w:r>
          </w:p>
          <w:p w:rsidR="007B1CD0" w:rsidRPr="003A7480" w:rsidRDefault="00A5026C" w:rsidP="007B1CD0">
            <w:pPr>
              <w:spacing w:after="0" w:line="240" w:lineRule="auto"/>
              <w:jc w:val="center"/>
              <w:rPr>
                <w:rFonts w:ascii="Times New Roman" w:hAnsi="Times New Roman"/>
                <w:b/>
                <w:bCs/>
                <w:sz w:val="20"/>
                <w:szCs w:val="20"/>
                <w:lang w:val="en-US" w:bidi="ar-SA"/>
              </w:rPr>
            </w:pPr>
            <w:r w:rsidRPr="003A7480">
              <w:rPr>
                <w:rFonts w:ascii="Times New Roman" w:hAnsi="Times New Roman"/>
                <w:b/>
                <w:bCs/>
                <w:sz w:val="20"/>
                <w:szCs w:val="20"/>
                <w:lang w:val="en-US" w:bidi="ar-SA"/>
              </w:rPr>
              <w:t xml:space="preserve"> 2014</w:t>
            </w:r>
          </w:p>
        </w:tc>
        <w:tc>
          <w:tcPr>
            <w:tcW w:w="360" w:type="pct"/>
            <w:shd w:val="clear" w:color="auto" w:fill="auto"/>
            <w:noWrap/>
            <w:vAlign w:val="bottom"/>
            <w:hideMark/>
          </w:tcPr>
          <w:p w:rsidR="007B1CD0" w:rsidRPr="003A7480" w:rsidRDefault="007B1CD0" w:rsidP="007B1CD0">
            <w:pPr>
              <w:spacing w:after="0" w:line="240" w:lineRule="auto"/>
              <w:jc w:val="center"/>
              <w:rPr>
                <w:rFonts w:ascii="Times New Roman" w:hAnsi="Times New Roman"/>
                <w:b/>
                <w:bCs/>
                <w:sz w:val="20"/>
                <w:szCs w:val="20"/>
                <w:lang w:val="en-US" w:bidi="ar-SA"/>
              </w:rPr>
            </w:pPr>
          </w:p>
        </w:tc>
        <w:tc>
          <w:tcPr>
            <w:tcW w:w="1160" w:type="pct"/>
            <w:shd w:val="clear" w:color="auto" w:fill="auto"/>
            <w:vAlign w:val="bottom"/>
            <w:hideMark/>
          </w:tcPr>
          <w:p w:rsidR="007B1CD0" w:rsidRPr="003A7480" w:rsidRDefault="007B1CD0" w:rsidP="007B1CD0">
            <w:pPr>
              <w:spacing w:after="0" w:line="240" w:lineRule="auto"/>
              <w:jc w:val="center"/>
              <w:rPr>
                <w:rFonts w:ascii="Times New Roman" w:hAnsi="Times New Roman"/>
                <w:b/>
                <w:bCs/>
                <w:sz w:val="20"/>
                <w:szCs w:val="20"/>
                <w:lang w:val="en-US" w:bidi="ar-SA"/>
              </w:rPr>
            </w:pPr>
            <w:r w:rsidRPr="003A7480">
              <w:rPr>
                <w:rFonts w:ascii="Times New Roman" w:hAnsi="Times New Roman"/>
                <w:b/>
                <w:bCs/>
                <w:sz w:val="20"/>
                <w:szCs w:val="20"/>
                <w:lang w:val="en-US" w:bidi="ar-SA"/>
              </w:rPr>
              <w:t xml:space="preserve">At </w:t>
            </w:r>
          </w:p>
          <w:p w:rsidR="007B1CD0" w:rsidRPr="003A7480" w:rsidRDefault="006C5FC1" w:rsidP="007B1CD0">
            <w:pPr>
              <w:spacing w:after="0" w:line="240" w:lineRule="auto"/>
              <w:jc w:val="center"/>
              <w:rPr>
                <w:rFonts w:ascii="Times New Roman" w:hAnsi="Times New Roman"/>
                <w:b/>
                <w:bCs/>
                <w:sz w:val="20"/>
                <w:szCs w:val="20"/>
                <w:lang w:val="en-US" w:bidi="ar-SA"/>
              </w:rPr>
            </w:pPr>
            <w:r w:rsidRPr="003A7480">
              <w:rPr>
                <w:rFonts w:ascii="Times New Roman" w:hAnsi="Times New Roman"/>
                <w:b/>
                <w:bCs/>
                <w:sz w:val="20"/>
                <w:szCs w:val="20"/>
                <w:lang w:val="en-US" w:bidi="ar-SA"/>
              </w:rPr>
              <w:t xml:space="preserve">31 December </w:t>
            </w:r>
            <w:r w:rsidR="00A5026C" w:rsidRPr="003A7480">
              <w:rPr>
                <w:rFonts w:ascii="Times New Roman" w:hAnsi="Times New Roman"/>
                <w:b/>
                <w:bCs/>
                <w:sz w:val="20"/>
                <w:szCs w:val="20"/>
                <w:lang w:val="en-US" w:bidi="ar-SA"/>
              </w:rPr>
              <w:t>2013</w:t>
            </w:r>
          </w:p>
        </w:tc>
      </w:tr>
      <w:tr w:rsidR="007B1CD0" w:rsidRPr="007B1CD0" w:rsidTr="009F1DC8">
        <w:trPr>
          <w:trHeight w:val="300"/>
        </w:trPr>
        <w:tc>
          <w:tcPr>
            <w:tcW w:w="2424" w:type="pct"/>
            <w:shd w:val="clear" w:color="auto" w:fill="auto"/>
            <w:noWrap/>
            <w:vAlign w:val="bottom"/>
            <w:hideMark/>
          </w:tcPr>
          <w:p w:rsidR="007B1CD0" w:rsidRPr="007B1CD0" w:rsidRDefault="007B1CD0" w:rsidP="007B1CD0">
            <w:pPr>
              <w:spacing w:after="0" w:line="240" w:lineRule="auto"/>
              <w:rPr>
                <w:rFonts w:ascii="Times New Roman" w:hAnsi="Times New Roman"/>
                <w:sz w:val="20"/>
                <w:szCs w:val="20"/>
                <w:lang w:val="en-US" w:bidi="ar-SA"/>
              </w:rPr>
            </w:pPr>
          </w:p>
        </w:tc>
        <w:tc>
          <w:tcPr>
            <w:tcW w:w="1056" w:type="pct"/>
            <w:shd w:val="clear" w:color="auto" w:fill="auto"/>
            <w:noWrap/>
            <w:vAlign w:val="bottom"/>
            <w:hideMark/>
          </w:tcPr>
          <w:p w:rsidR="007B1CD0" w:rsidRPr="003A7480" w:rsidRDefault="007B1CD0" w:rsidP="007B1CD0">
            <w:pPr>
              <w:spacing w:after="0" w:line="240" w:lineRule="auto"/>
              <w:jc w:val="center"/>
              <w:rPr>
                <w:rFonts w:ascii="Times New Roman" w:hAnsi="Times New Roman"/>
                <w:b/>
                <w:bCs/>
                <w:sz w:val="20"/>
                <w:szCs w:val="20"/>
                <w:lang w:val="en-US" w:bidi="ar-SA"/>
              </w:rPr>
            </w:pPr>
            <w:r w:rsidRPr="003A7480">
              <w:rPr>
                <w:rFonts w:ascii="Times New Roman" w:hAnsi="Times New Roman"/>
                <w:b/>
                <w:bCs/>
                <w:sz w:val="20"/>
                <w:szCs w:val="20"/>
                <w:lang w:val="en-US" w:bidi="ar-SA"/>
              </w:rPr>
              <w:t>RM'000</w:t>
            </w:r>
          </w:p>
        </w:tc>
        <w:tc>
          <w:tcPr>
            <w:tcW w:w="360" w:type="pct"/>
            <w:shd w:val="clear" w:color="auto" w:fill="auto"/>
            <w:noWrap/>
            <w:vAlign w:val="bottom"/>
            <w:hideMark/>
          </w:tcPr>
          <w:p w:rsidR="007B1CD0" w:rsidRPr="003A7480" w:rsidRDefault="007B1CD0" w:rsidP="007B1CD0">
            <w:pPr>
              <w:spacing w:after="0" w:line="240" w:lineRule="auto"/>
              <w:jc w:val="center"/>
              <w:rPr>
                <w:rFonts w:ascii="Times New Roman" w:hAnsi="Times New Roman"/>
                <w:b/>
                <w:bCs/>
                <w:sz w:val="20"/>
                <w:szCs w:val="20"/>
                <w:lang w:val="en-US" w:bidi="ar-SA"/>
              </w:rPr>
            </w:pPr>
          </w:p>
        </w:tc>
        <w:tc>
          <w:tcPr>
            <w:tcW w:w="1160" w:type="pct"/>
            <w:shd w:val="clear" w:color="auto" w:fill="auto"/>
            <w:noWrap/>
            <w:vAlign w:val="bottom"/>
            <w:hideMark/>
          </w:tcPr>
          <w:p w:rsidR="007B1CD0" w:rsidRPr="003A7480" w:rsidRDefault="007B1CD0" w:rsidP="007B1CD0">
            <w:pPr>
              <w:spacing w:after="0" w:line="240" w:lineRule="auto"/>
              <w:jc w:val="center"/>
              <w:rPr>
                <w:rFonts w:ascii="Times New Roman" w:hAnsi="Times New Roman"/>
                <w:b/>
                <w:bCs/>
                <w:sz w:val="20"/>
                <w:szCs w:val="20"/>
                <w:lang w:val="en-US" w:bidi="ar-SA"/>
              </w:rPr>
            </w:pPr>
            <w:r w:rsidRPr="003A7480">
              <w:rPr>
                <w:rFonts w:ascii="Times New Roman" w:hAnsi="Times New Roman"/>
                <w:b/>
                <w:bCs/>
                <w:sz w:val="20"/>
                <w:szCs w:val="20"/>
                <w:lang w:val="en-US" w:bidi="ar-SA"/>
              </w:rPr>
              <w:t>RM'000</w:t>
            </w:r>
          </w:p>
        </w:tc>
      </w:tr>
      <w:tr w:rsidR="007B1CD0" w:rsidRPr="007B1CD0" w:rsidTr="009F1DC8">
        <w:trPr>
          <w:trHeight w:val="300"/>
        </w:trPr>
        <w:tc>
          <w:tcPr>
            <w:tcW w:w="2424" w:type="pct"/>
            <w:shd w:val="clear" w:color="auto" w:fill="auto"/>
            <w:noWrap/>
            <w:vAlign w:val="bottom"/>
            <w:hideMark/>
          </w:tcPr>
          <w:p w:rsidR="007B1CD0" w:rsidRPr="007B1CD0" w:rsidRDefault="007B1CD0" w:rsidP="007B1CD0">
            <w:pPr>
              <w:spacing w:after="0" w:line="240" w:lineRule="auto"/>
              <w:rPr>
                <w:rFonts w:ascii="Times New Roman" w:hAnsi="Times New Roman"/>
                <w:sz w:val="20"/>
                <w:szCs w:val="20"/>
                <w:lang w:val="en-US" w:bidi="ar-SA"/>
              </w:rPr>
            </w:pPr>
          </w:p>
        </w:tc>
        <w:tc>
          <w:tcPr>
            <w:tcW w:w="1056" w:type="pct"/>
            <w:shd w:val="clear" w:color="auto" w:fill="auto"/>
            <w:noWrap/>
            <w:vAlign w:val="bottom"/>
            <w:hideMark/>
          </w:tcPr>
          <w:p w:rsidR="007B1CD0" w:rsidRPr="003A7480" w:rsidRDefault="007B1CD0" w:rsidP="007B1CD0">
            <w:pPr>
              <w:spacing w:after="0" w:line="240" w:lineRule="auto"/>
              <w:jc w:val="center"/>
              <w:rPr>
                <w:rFonts w:ascii="Times New Roman" w:hAnsi="Times New Roman"/>
                <w:sz w:val="20"/>
                <w:szCs w:val="20"/>
                <w:lang w:val="en-US" w:bidi="ar-SA"/>
              </w:rPr>
            </w:pPr>
          </w:p>
        </w:tc>
        <w:tc>
          <w:tcPr>
            <w:tcW w:w="360" w:type="pct"/>
            <w:shd w:val="clear" w:color="auto" w:fill="auto"/>
            <w:noWrap/>
            <w:vAlign w:val="bottom"/>
            <w:hideMark/>
          </w:tcPr>
          <w:p w:rsidR="007B1CD0" w:rsidRPr="003A7480" w:rsidRDefault="007B1CD0" w:rsidP="007B1CD0">
            <w:pPr>
              <w:spacing w:after="0" w:line="240" w:lineRule="auto"/>
              <w:jc w:val="center"/>
              <w:rPr>
                <w:rFonts w:ascii="Times New Roman" w:hAnsi="Times New Roman"/>
                <w:sz w:val="20"/>
                <w:szCs w:val="20"/>
                <w:lang w:val="en-US" w:bidi="ar-SA"/>
              </w:rPr>
            </w:pPr>
          </w:p>
        </w:tc>
        <w:tc>
          <w:tcPr>
            <w:tcW w:w="1160" w:type="pct"/>
            <w:shd w:val="clear" w:color="auto" w:fill="auto"/>
            <w:noWrap/>
            <w:vAlign w:val="bottom"/>
            <w:hideMark/>
          </w:tcPr>
          <w:p w:rsidR="007B1CD0" w:rsidRPr="003A7480" w:rsidRDefault="007B1CD0" w:rsidP="007B1CD0">
            <w:pPr>
              <w:spacing w:after="0" w:line="240" w:lineRule="auto"/>
              <w:jc w:val="center"/>
              <w:rPr>
                <w:rFonts w:ascii="Times New Roman" w:hAnsi="Times New Roman"/>
                <w:sz w:val="20"/>
                <w:szCs w:val="20"/>
                <w:lang w:val="en-US" w:bidi="ar-SA"/>
              </w:rPr>
            </w:pPr>
          </w:p>
        </w:tc>
      </w:tr>
      <w:tr w:rsidR="007B1CD0" w:rsidRPr="007B1CD0" w:rsidTr="009F1DC8">
        <w:trPr>
          <w:trHeight w:val="300"/>
        </w:trPr>
        <w:tc>
          <w:tcPr>
            <w:tcW w:w="2424" w:type="pct"/>
            <w:shd w:val="clear" w:color="auto" w:fill="auto"/>
            <w:noWrap/>
            <w:vAlign w:val="bottom"/>
            <w:hideMark/>
          </w:tcPr>
          <w:p w:rsidR="007B1CD0" w:rsidRPr="007B1CD0" w:rsidRDefault="007B1CD0" w:rsidP="007B1CD0">
            <w:pPr>
              <w:spacing w:after="0" w:line="240" w:lineRule="auto"/>
              <w:rPr>
                <w:rFonts w:ascii="Times New Roman" w:hAnsi="Times New Roman"/>
                <w:sz w:val="20"/>
                <w:szCs w:val="20"/>
                <w:lang w:val="en-US" w:bidi="ar-SA"/>
              </w:rPr>
            </w:pPr>
            <w:r w:rsidRPr="007B1CD0">
              <w:rPr>
                <w:rFonts w:ascii="Times New Roman" w:hAnsi="Times New Roman"/>
                <w:sz w:val="20"/>
                <w:szCs w:val="20"/>
                <w:lang w:val="en-US" w:bidi="ar-SA"/>
              </w:rPr>
              <w:t>Approved but not contracted for</w:t>
            </w:r>
          </w:p>
        </w:tc>
        <w:tc>
          <w:tcPr>
            <w:tcW w:w="1056" w:type="pct"/>
            <w:shd w:val="clear" w:color="auto" w:fill="auto"/>
            <w:noWrap/>
            <w:vAlign w:val="bottom"/>
            <w:hideMark/>
          </w:tcPr>
          <w:p w:rsidR="007B1CD0" w:rsidRPr="003A7480" w:rsidRDefault="00BE7DB9" w:rsidP="009F1DC8">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47,936</w:t>
            </w:r>
          </w:p>
        </w:tc>
        <w:tc>
          <w:tcPr>
            <w:tcW w:w="360" w:type="pct"/>
            <w:shd w:val="clear" w:color="auto" w:fill="auto"/>
            <w:noWrap/>
            <w:vAlign w:val="bottom"/>
            <w:hideMark/>
          </w:tcPr>
          <w:p w:rsidR="007B1CD0" w:rsidRPr="003A7480" w:rsidRDefault="007B1CD0" w:rsidP="009F1DC8">
            <w:pPr>
              <w:spacing w:after="0" w:line="240" w:lineRule="auto"/>
              <w:jc w:val="right"/>
              <w:rPr>
                <w:rFonts w:ascii="Times New Roman" w:hAnsi="Times New Roman"/>
                <w:sz w:val="20"/>
                <w:szCs w:val="20"/>
                <w:lang w:val="en-US" w:bidi="ar-SA"/>
              </w:rPr>
            </w:pPr>
          </w:p>
        </w:tc>
        <w:tc>
          <w:tcPr>
            <w:tcW w:w="1160" w:type="pct"/>
            <w:shd w:val="clear" w:color="auto" w:fill="auto"/>
            <w:noWrap/>
            <w:vAlign w:val="bottom"/>
            <w:hideMark/>
          </w:tcPr>
          <w:p w:rsidR="007B1CD0" w:rsidRPr="003A7480" w:rsidRDefault="006C5FC1" w:rsidP="009F1DC8">
            <w:pPr>
              <w:spacing w:after="0" w:line="240" w:lineRule="auto"/>
              <w:jc w:val="right"/>
              <w:rPr>
                <w:rFonts w:ascii="Times New Roman" w:hAnsi="Times New Roman"/>
                <w:sz w:val="20"/>
                <w:szCs w:val="20"/>
                <w:lang w:val="en-US" w:bidi="ar-SA"/>
              </w:rPr>
            </w:pPr>
            <w:r w:rsidRPr="003A7480">
              <w:rPr>
                <w:rFonts w:ascii="Times New Roman" w:hAnsi="Times New Roman"/>
                <w:sz w:val="20"/>
                <w:szCs w:val="20"/>
                <w:lang w:val="en-US" w:bidi="ar-SA"/>
              </w:rPr>
              <w:t>36,075</w:t>
            </w:r>
          </w:p>
        </w:tc>
      </w:tr>
      <w:tr w:rsidR="007B1CD0" w:rsidRPr="007B1CD0" w:rsidTr="009F1DC8">
        <w:trPr>
          <w:trHeight w:val="300"/>
        </w:trPr>
        <w:tc>
          <w:tcPr>
            <w:tcW w:w="2424" w:type="pct"/>
            <w:shd w:val="clear" w:color="auto" w:fill="auto"/>
            <w:noWrap/>
            <w:vAlign w:val="bottom"/>
            <w:hideMark/>
          </w:tcPr>
          <w:p w:rsidR="007B1CD0" w:rsidRPr="007B1CD0" w:rsidRDefault="007B1CD0" w:rsidP="007B1CD0">
            <w:pPr>
              <w:spacing w:after="0" w:line="240" w:lineRule="auto"/>
              <w:rPr>
                <w:rFonts w:ascii="Times New Roman" w:hAnsi="Times New Roman"/>
                <w:sz w:val="20"/>
                <w:szCs w:val="20"/>
                <w:lang w:val="en-US" w:bidi="ar-SA"/>
              </w:rPr>
            </w:pPr>
            <w:r w:rsidRPr="007B1CD0">
              <w:rPr>
                <w:rFonts w:ascii="Times New Roman" w:hAnsi="Times New Roman"/>
                <w:sz w:val="20"/>
                <w:szCs w:val="20"/>
                <w:lang w:val="en-US" w:bidi="ar-SA"/>
              </w:rPr>
              <w:t>Contracted but not provided for</w:t>
            </w:r>
          </w:p>
        </w:tc>
        <w:tc>
          <w:tcPr>
            <w:tcW w:w="1056" w:type="pct"/>
            <w:tcBorders>
              <w:bottom w:val="single" w:sz="4" w:space="0" w:color="auto"/>
            </w:tcBorders>
            <w:shd w:val="clear" w:color="auto" w:fill="auto"/>
            <w:noWrap/>
            <w:vAlign w:val="bottom"/>
            <w:hideMark/>
          </w:tcPr>
          <w:p w:rsidR="007B1CD0" w:rsidRPr="003A7480" w:rsidRDefault="00BE7DB9" w:rsidP="009F1DC8">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69,634</w:t>
            </w:r>
          </w:p>
        </w:tc>
        <w:tc>
          <w:tcPr>
            <w:tcW w:w="360" w:type="pct"/>
            <w:shd w:val="clear" w:color="auto" w:fill="auto"/>
            <w:noWrap/>
            <w:vAlign w:val="bottom"/>
            <w:hideMark/>
          </w:tcPr>
          <w:p w:rsidR="007B1CD0" w:rsidRPr="003A7480" w:rsidRDefault="007B1CD0" w:rsidP="009F1DC8">
            <w:pPr>
              <w:spacing w:after="0" w:line="240" w:lineRule="auto"/>
              <w:jc w:val="right"/>
              <w:rPr>
                <w:rFonts w:ascii="Times New Roman" w:hAnsi="Times New Roman"/>
                <w:sz w:val="20"/>
                <w:szCs w:val="20"/>
                <w:lang w:val="en-US" w:bidi="ar-SA"/>
              </w:rPr>
            </w:pPr>
          </w:p>
        </w:tc>
        <w:tc>
          <w:tcPr>
            <w:tcW w:w="1160" w:type="pct"/>
            <w:tcBorders>
              <w:bottom w:val="single" w:sz="4" w:space="0" w:color="auto"/>
            </w:tcBorders>
            <w:shd w:val="clear" w:color="auto" w:fill="auto"/>
            <w:noWrap/>
            <w:vAlign w:val="bottom"/>
            <w:hideMark/>
          </w:tcPr>
          <w:p w:rsidR="007B1CD0" w:rsidRPr="003A7480" w:rsidRDefault="006C5FC1" w:rsidP="009F1DC8">
            <w:pPr>
              <w:spacing w:after="0" w:line="240" w:lineRule="auto"/>
              <w:jc w:val="right"/>
              <w:rPr>
                <w:rFonts w:ascii="Times New Roman" w:hAnsi="Times New Roman"/>
                <w:sz w:val="20"/>
                <w:szCs w:val="20"/>
                <w:lang w:val="en-US" w:bidi="ar-SA"/>
              </w:rPr>
            </w:pPr>
            <w:r w:rsidRPr="003A7480">
              <w:rPr>
                <w:rFonts w:ascii="Times New Roman" w:hAnsi="Times New Roman"/>
                <w:sz w:val="20"/>
                <w:szCs w:val="20"/>
                <w:lang w:val="en-US" w:bidi="ar-SA"/>
              </w:rPr>
              <w:t>38,281</w:t>
            </w:r>
          </w:p>
        </w:tc>
      </w:tr>
      <w:tr w:rsidR="007B1CD0" w:rsidRPr="007B1CD0" w:rsidTr="009F1DC8">
        <w:trPr>
          <w:trHeight w:val="315"/>
        </w:trPr>
        <w:tc>
          <w:tcPr>
            <w:tcW w:w="2424" w:type="pct"/>
            <w:shd w:val="clear" w:color="auto" w:fill="auto"/>
            <w:noWrap/>
            <w:vAlign w:val="bottom"/>
            <w:hideMark/>
          </w:tcPr>
          <w:p w:rsidR="007B1CD0" w:rsidRPr="007B1CD0" w:rsidRDefault="007B1CD0" w:rsidP="007B1CD0">
            <w:pPr>
              <w:spacing w:after="0" w:line="240" w:lineRule="auto"/>
              <w:rPr>
                <w:rFonts w:ascii="Times New Roman" w:hAnsi="Times New Roman"/>
                <w:sz w:val="20"/>
                <w:szCs w:val="20"/>
                <w:lang w:val="en-US" w:bidi="ar-SA"/>
              </w:rPr>
            </w:pPr>
          </w:p>
        </w:tc>
        <w:tc>
          <w:tcPr>
            <w:tcW w:w="1056" w:type="pct"/>
            <w:tcBorders>
              <w:top w:val="single" w:sz="4" w:space="0" w:color="auto"/>
              <w:bottom w:val="single" w:sz="4" w:space="0" w:color="auto"/>
            </w:tcBorders>
            <w:shd w:val="clear" w:color="auto" w:fill="auto"/>
            <w:noWrap/>
            <w:vAlign w:val="bottom"/>
            <w:hideMark/>
          </w:tcPr>
          <w:p w:rsidR="007B1CD0" w:rsidRPr="003A7480" w:rsidRDefault="00BE7DB9" w:rsidP="009F1DC8">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117,570</w:t>
            </w:r>
          </w:p>
        </w:tc>
        <w:tc>
          <w:tcPr>
            <w:tcW w:w="360" w:type="pct"/>
            <w:shd w:val="clear" w:color="auto" w:fill="auto"/>
            <w:noWrap/>
            <w:vAlign w:val="bottom"/>
            <w:hideMark/>
          </w:tcPr>
          <w:p w:rsidR="007B1CD0" w:rsidRPr="003A7480" w:rsidRDefault="007B1CD0" w:rsidP="009F1DC8">
            <w:pPr>
              <w:spacing w:after="0" w:line="240" w:lineRule="auto"/>
              <w:jc w:val="right"/>
              <w:rPr>
                <w:rFonts w:ascii="Times New Roman" w:hAnsi="Times New Roman"/>
                <w:sz w:val="20"/>
                <w:szCs w:val="20"/>
                <w:lang w:val="en-US" w:bidi="ar-SA"/>
              </w:rPr>
            </w:pPr>
          </w:p>
        </w:tc>
        <w:tc>
          <w:tcPr>
            <w:tcW w:w="1160" w:type="pct"/>
            <w:tcBorders>
              <w:top w:val="single" w:sz="4" w:space="0" w:color="auto"/>
              <w:bottom w:val="single" w:sz="4" w:space="0" w:color="auto"/>
            </w:tcBorders>
            <w:shd w:val="clear" w:color="auto" w:fill="auto"/>
            <w:noWrap/>
            <w:vAlign w:val="bottom"/>
            <w:hideMark/>
          </w:tcPr>
          <w:p w:rsidR="007B1CD0" w:rsidRPr="003A7480" w:rsidRDefault="006C5FC1" w:rsidP="009F1DC8">
            <w:pPr>
              <w:spacing w:after="0" w:line="240" w:lineRule="auto"/>
              <w:jc w:val="right"/>
              <w:rPr>
                <w:rFonts w:ascii="Times New Roman" w:hAnsi="Times New Roman"/>
                <w:sz w:val="20"/>
                <w:szCs w:val="20"/>
                <w:lang w:val="en-US" w:bidi="ar-SA"/>
              </w:rPr>
            </w:pPr>
            <w:r w:rsidRPr="003A7480">
              <w:rPr>
                <w:rFonts w:ascii="Times New Roman" w:hAnsi="Times New Roman"/>
                <w:sz w:val="20"/>
                <w:szCs w:val="20"/>
                <w:lang w:val="en-US" w:bidi="ar-SA"/>
              </w:rPr>
              <w:t>74,356</w:t>
            </w:r>
          </w:p>
        </w:tc>
      </w:tr>
    </w:tbl>
    <w:p w:rsidR="007B1CD0" w:rsidRPr="00644002" w:rsidRDefault="007B1CD0" w:rsidP="00463AD9">
      <w:pPr>
        <w:spacing w:after="0"/>
        <w:ind w:left="540"/>
        <w:rPr>
          <w:rFonts w:ascii="Times New Roman" w:hAnsi="Times New Roman"/>
          <w:b/>
          <w:bCs/>
          <w:sz w:val="20"/>
          <w:szCs w:val="20"/>
          <w:u w:val="single"/>
        </w:rPr>
        <w:sectPr w:rsidR="007B1CD0" w:rsidRPr="00644002" w:rsidSect="00E4586B">
          <w:headerReference w:type="default" r:id="rId19"/>
          <w:pgSz w:w="12240" w:h="15840"/>
          <w:pgMar w:top="1260" w:right="1260" w:bottom="720" w:left="907" w:header="720" w:footer="720" w:gutter="0"/>
          <w:cols w:space="720"/>
          <w:docGrid w:linePitch="360"/>
        </w:sectPr>
      </w:pPr>
    </w:p>
    <w:p w:rsidR="009115EE" w:rsidRPr="00644002" w:rsidRDefault="009115EE" w:rsidP="00465D8D">
      <w:pPr>
        <w:pStyle w:val="qq"/>
        <w:tabs>
          <w:tab w:val="clear" w:pos="5580"/>
          <w:tab w:val="clear" w:pos="7280"/>
          <w:tab w:val="clear" w:pos="8820"/>
          <w:tab w:val="decimal" w:pos="5490"/>
          <w:tab w:val="decimal" w:pos="6660"/>
          <w:tab w:val="decimal" w:pos="7830"/>
          <w:tab w:val="decimal" w:pos="9000"/>
        </w:tabs>
        <w:spacing w:after="0" w:line="240" w:lineRule="auto"/>
        <w:ind w:left="540" w:right="-592"/>
        <w:rPr>
          <w:rFonts w:ascii="Times New Roman" w:hAnsi="Times New Roman"/>
          <w:b/>
          <w:bCs/>
          <w:sz w:val="20"/>
          <w:szCs w:val="20"/>
          <w:u w:val="single"/>
        </w:rPr>
      </w:pPr>
      <w:r w:rsidRPr="00644002">
        <w:rPr>
          <w:rFonts w:ascii="Times New Roman" w:hAnsi="Times New Roman"/>
          <w:sz w:val="20"/>
          <w:szCs w:val="20"/>
        </w:rPr>
        <w:lastRenderedPageBreak/>
        <w:tab/>
      </w:r>
    </w:p>
    <w:p w:rsidR="00E4586B" w:rsidRPr="00644002" w:rsidRDefault="00E4586B" w:rsidP="002F3A84">
      <w:pPr>
        <w:spacing w:after="0"/>
        <w:outlineLvl w:val="0"/>
        <w:rPr>
          <w:rFonts w:ascii="Times New Roman" w:hAnsi="Times New Roman"/>
          <w:b/>
          <w:bCs/>
          <w:sz w:val="20"/>
          <w:szCs w:val="20"/>
          <w:u w:val="single"/>
        </w:rPr>
      </w:pPr>
      <w:r w:rsidRPr="00644002">
        <w:rPr>
          <w:rFonts w:ascii="Times New Roman" w:hAnsi="Times New Roman"/>
          <w:b/>
          <w:bCs/>
          <w:sz w:val="20"/>
          <w:szCs w:val="20"/>
          <w:u w:val="single"/>
        </w:rPr>
        <w:t xml:space="preserve">Explanatory Notes Pursuant to Appendix 9B of the Listing Requirements of </w:t>
      </w:r>
      <w:r w:rsidR="00E01D34" w:rsidRPr="00644002">
        <w:rPr>
          <w:rFonts w:ascii="Times New Roman" w:hAnsi="Times New Roman"/>
          <w:b/>
          <w:bCs/>
          <w:sz w:val="20"/>
          <w:szCs w:val="20"/>
          <w:u w:val="single"/>
        </w:rPr>
        <w:t>Bursa Malaysia</w:t>
      </w:r>
      <w:r w:rsidRPr="00644002">
        <w:rPr>
          <w:rFonts w:ascii="Times New Roman" w:hAnsi="Times New Roman"/>
          <w:b/>
          <w:bCs/>
          <w:sz w:val="20"/>
          <w:szCs w:val="20"/>
          <w:u w:val="single"/>
        </w:rPr>
        <w:t xml:space="preserve"> Securities Berhad</w:t>
      </w:r>
    </w:p>
    <w:p w:rsidR="00E4586B" w:rsidRPr="00644002" w:rsidRDefault="00E4586B" w:rsidP="00644002">
      <w:pPr>
        <w:spacing w:after="0"/>
        <w:ind w:left="540"/>
        <w:rPr>
          <w:rFonts w:ascii="Times New Roman" w:hAnsi="Times New Roman"/>
          <w:b/>
          <w:bCs/>
          <w:sz w:val="20"/>
          <w:szCs w:val="20"/>
        </w:rPr>
      </w:pPr>
    </w:p>
    <w:p w:rsidR="00E4586B" w:rsidRDefault="00E4586B" w:rsidP="002A0DB7">
      <w:pPr>
        <w:tabs>
          <w:tab w:val="left" w:pos="720"/>
        </w:tabs>
        <w:spacing w:after="0"/>
        <w:rPr>
          <w:rFonts w:ascii="Times New Roman" w:hAnsi="Times New Roman"/>
          <w:b/>
          <w:bCs/>
          <w:sz w:val="20"/>
          <w:szCs w:val="20"/>
        </w:rPr>
      </w:pPr>
      <w:r w:rsidRPr="00644002">
        <w:rPr>
          <w:rFonts w:ascii="Times New Roman" w:hAnsi="Times New Roman"/>
          <w:b/>
          <w:bCs/>
          <w:sz w:val="20"/>
          <w:szCs w:val="20"/>
        </w:rPr>
        <w:t>B1)</w:t>
      </w:r>
      <w:r w:rsidRPr="00644002">
        <w:rPr>
          <w:rFonts w:ascii="Times New Roman" w:hAnsi="Times New Roman"/>
          <w:b/>
          <w:bCs/>
          <w:sz w:val="20"/>
          <w:szCs w:val="20"/>
        </w:rPr>
        <w:tab/>
        <w:t xml:space="preserve">Review of Performance </w:t>
      </w:r>
    </w:p>
    <w:p w:rsidR="00E11F34" w:rsidRPr="00627B52" w:rsidRDefault="00454F17" w:rsidP="00093BED">
      <w:pPr>
        <w:spacing w:after="0"/>
        <w:rPr>
          <w:rFonts w:ascii="Times New Roman" w:hAnsi="Times New Roman"/>
          <w:sz w:val="20"/>
          <w:szCs w:val="20"/>
        </w:rPr>
      </w:pPr>
      <w:r>
        <w:rPr>
          <w:rFonts w:ascii="Times New Roman" w:hAnsi="Times New Roman"/>
          <w:sz w:val="20"/>
          <w:szCs w:val="20"/>
        </w:rPr>
        <w:tab/>
      </w:r>
    </w:p>
    <w:p w:rsidR="00454F17" w:rsidRDefault="00454F17" w:rsidP="002F3A84">
      <w:pPr>
        <w:spacing w:after="0"/>
        <w:ind w:left="720"/>
        <w:jc w:val="both"/>
        <w:outlineLvl w:val="0"/>
        <w:rPr>
          <w:rFonts w:ascii="Times New Roman" w:hAnsi="Times New Roman"/>
          <w:sz w:val="20"/>
          <w:szCs w:val="20"/>
          <w:u w:val="single"/>
        </w:rPr>
      </w:pPr>
      <w:r w:rsidRPr="00454F17">
        <w:rPr>
          <w:rFonts w:ascii="Times New Roman" w:hAnsi="Times New Roman"/>
          <w:sz w:val="20"/>
          <w:szCs w:val="20"/>
          <w:u w:val="single"/>
        </w:rPr>
        <w:t xml:space="preserve">Commentary for </w:t>
      </w:r>
      <w:r w:rsidR="0087679C">
        <w:rPr>
          <w:rFonts w:ascii="Times New Roman" w:hAnsi="Times New Roman"/>
          <w:sz w:val="20"/>
          <w:szCs w:val="20"/>
          <w:u w:val="single"/>
        </w:rPr>
        <w:t xml:space="preserve">Individual </w:t>
      </w:r>
      <w:r w:rsidR="00A5026C">
        <w:rPr>
          <w:rFonts w:ascii="Times New Roman" w:hAnsi="Times New Roman"/>
          <w:sz w:val="20"/>
          <w:szCs w:val="20"/>
          <w:u w:val="single"/>
        </w:rPr>
        <w:t>Quarter</w:t>
      </w:r>
      <w:r w:rsidR="00155493">
        <w:rPr>
          <w:rFonts w:ascii="Times New Roman" w:hAnsi="Times New Roman"/>
          <w:sz w:val="20"/>
          <w:szCs w:val="20"/>
          <w:u w:val="single"/>
        </w:rPr>
        <w:t xml:space="preserve"> ended 31 December</w:t>
      </w:r>
      <w:r w:rsidR="00A5026C">
        <w:rPr>
          <w:rFonts w:ascii="Times New Roman" w:hAnsi="Times New Roman"/>
          <w:sz w:val="20"/>
          <w:szCs w:val="20"/>
          <w:u w:val="single"/>
        </w:rPr>
        <w:t xml:space="preserve"> 2014</w:t>
      </w:r>
    </w:p>
    <w:p w:rsidR="00454F17" w:rsidRPr="00454F17" w:rsidRDefault="00454F17" w:rsidP="006829C2">
      <w:pPr>
        <w:spacing w:after="0"/>
        <w:ind w:left="720"/>
        <w:jc w:val="both"/>
        <w:rPr>
          <w:rFonts w:ascii="Times New Roman" w:hAnsi="Times New Roman"/>
          <w:sz w:val="20"/>
          <w:szCs w:val="20"/>
          <w:u w:val="single"/>
        </w:rPr>
      </w:pPr>
    </w:p>
    <w:p w:rsidR="004511AC" w:rsidRDefault="00461B55" w:rsidP="006829C2">
      <w:pPr>
        <w:spacing w:after="0"/>
        <w:ind w:left="720"/>
        <w:jc w:val="both"/>
        <w:rPr>
          <w:rFonts w:ascii="Times New Roman" w:hAnsi="Times New Roman"/>
          <w:sz w:val="20"/>
          <w:szCs w:val="20"/>
        </w:rPr>
      </w:pPr>
      <w:r w:rsidRPr="00CF29F8">
        <w:rPr>
          <w:rFonts w:ascii="Times New Roman" w:hAnsi="Times New Roman"/>
          <w:sz w:val="20"/>
          <w:szCs w:val="20"/>
        </w:rPr>
        <w:t>For th</w:t>
      </w:r>
      <w:r w:rsidR="000B3C1D" w:rsidRPr="00CF29F8">
        <w:rPr>
          <w:rFonts w:ascii="Times New Roman" w:hAnsi="Times New Roman"/>
          <w:sz w:val="20"/>
          <w:szCs w:val="20"/>
        </w:rPr>
        <w:t>e cu</w:t>
      </w:r>
      <w:r w:rsidR="00E33ECD" w:rsidRPr="00CF29F8">
        <w:rPr>
          <w:rFonts w:ascii="Times New Roman" w:hAnsi="Times New Roman"/>
          <w:sz w:val="20"/>
          <w:szCs w:val="20"/>
        </w:rPr>
        <w:t>rrent quarter</w:t>
      </w:r>
      <w:r w:rsidR="006972D8" w:rsidRPr="00CF29F8">
        <w:rPr>
          <w:rFonts w:ascii="Times New Roman" w:hAnsi="Times New Roman"/>
          <w:sz w:val="20"/>
          <w:szCs w:val="20"/>
        </w:rPr>
        <w:t xml:space="preserve"> ended 31 December</w:t>
      </w:r>
      <w:r w:rsidR="00E33ECD" w:rsidRPr="00CF29F8">
        <w:rPr>
          <w:rFonts w:ascii="Times New Roman" w:hAnsi="Times New Roman"/>
          <w:sz w:val="20"/>
          <w:szCs w:val="20"/>
        </w:rPr>
        <w:t xml:space="preserve"> 2014</w:t>
      </w:r>
      <w:r w:rsidRPr="00CF29F8">
        <w:rPr>
          <w:rFonts w:ascii="Times New Roman" w:hAnsi="Times New Roman"/>
          <w:sz w:val="20"/>
          <w:szCs w:val="20"/>
        </w:rPr>
        <w:t>, the G</w:t>
      </w:r>
      <w:r w:rsidR="00E808DD" w:rsidRPr="00CF29F8">
        <w:rPr>
          <w:rFonts w:ascii="Times New Roman" w:hAnsi="Times New Roman"/>
          <w:sz w:val="20"/>
          <w:szCs w:val="20"/>
        </w:rPr>
        <w:t xml:space="preserve">roup recorded </w:t>
      </w:r>
      <w:r w:rsidR="005C7146" w:rsidRPr="00CF29F8">
        <w:rPr>
          <w:rFonts w:ascii="Times New Roman" w:hAnsi="Times New Roman"/>
          <w:sz w:val="20"/>
          <w:szCs w:val="20"/>
        </w:rPr>
        <w:t>revenue of RM240.0</w:t>
      </w:r>
      <w:r w:rsidR="00520F60" w:rsidRPr="00CF29F8">
        <w:rPr>
          <w:rFonts w:ascii="Times New Roman" w:hAnsi="Times New Roman"/>
          <w:sz w:val="20"/>
          <w:szCs w:val="20"/>
        </w:rPr>
        <w:t xml:space="preserve"> million, l</w:t>
      </w:r>
      <w:r w:rsidR="005C7146" w:rsidRPr="00CF29F8">
        <w:rPr>
          <w:rFonts w:ascii="Times New Roman" w:hAnsi="Times New Roman"/>
          <w:sz w:val="20"/>
          <w:szCs w:val="20"/>
        </w:rPr>
        <w:t>ower by 18.2</w:t>
      </w:r>
      <w:r w:rsidRPr="00CF29F8">
        <w:rPr>
          <w:rFonts w:ascii="Times New Roman" w:hAnsi="Times New Roman"/>
          <w:sz w:val="20"/>
          <w:szCs w:val="20"/>
        </w:rPr>
        <w:t>% compared to the correspond</w:t>
      </w:r>
      <w:r w:rsidR="0087679C" w:rsidRPr="00CF29F8">
        <w:rPr>
          <w:rFonts w:ascii="Times New Roman" w:hAnsi="Times New Roman"/>
          <w:sz w:val="20"/>
          <w:szCs w:val="20"/>
        </w:rPr>
        <w:t>ing quarter</w:t>
      </w:r>
      <w:r w:rsidR="00520F60" w:rsidRPr="00CF29F8">
        <w:rPr>
          <w:rFonts w:ascii="Times New Roman" w:hAnsi="Times New Roman"/>
          <w:sz w:val="20"/>
          <w:szCs w:val="20"/>
        </w:rPr>
        <w:t xml:space="preserve"> last year. </w:t>
      </w:r>
      <w:r w:rsidR="0052173A" w:rsidRPr="00CF29F8">
        <w:rPr>
          <w:rFonts w:ascii="Times New Roman" w:hAnsi="Times New Roman"/>
          <w:sz w:val="20"/>
          <w:szCs w:val="20"/>
        </w:rPr>
        <w:t>The Group recorded an operational profit before tax of RM2.9 million during the quarter under review. However the Group had taken a prudent measure to recognise an impairment loss of RM36.8 million against its Medan Plant assets during the quarter which led to</w:t>
      </w:r>
      <w:r w:rsidR="00415556" w:rsidRPr="00CF29F8">
        <w:rPr>
          <w:rFonts w:ascii="Times New Roman" w:hAnsi="Times New Roman"/>
          <w:sz w:val="20"/>
          <w:szCs w:val="20"/>
        </w:rPr>
        <w:t xml:space="preserve"> </w:t>
      </w:r>
      <w:r w:rsidR="0052173A" w:rsidRPr="00CF29F8">
        <w:rPr>
          <w:rFonts w:ascii="Times New Roman" w:hAnsi="Times New Roman"/>
          <w:sz w:val="20"/>
          <w:szCs w:val="20"/>
        </w:rPr>
        <w:t xml:space="preserve">it recording </w:t>
      </w:r>
      <w:r w:rsidR="00415556" w:rsidRPr="00CF29F8">
        <w:rPr>
          <w:rFonts w:ascii="Times New Roman" w:hAnsi="Times New Roman"/>
          <w:sz w:val="20"/>
          <w:szCs w:val="20"/>
        </w:rPr>
        <w:t xml:space="preserve">a </w:t>
      </w:r>
      <w:r w:rsidR="0052173A" w:rsidRPr="00CF29F8">
        <w:rPr>
          <w:rFonts w:ascii="Times New Roman" w:hAnsi="Times New Roman"/>
          <w:sz w:val="20"/>
          <w:szCs w:val="20"/>
        </w:rPr>
        <w:t xml:space="preserve">loss before tax of RM33.9 million, an increase from loss before tax of RM15.4 million </w:t>
      </w:r>
      <w:r w:rsidRPr="00CF29F8">
        <w:rPr>
          <w:rFonts w:ascii="Times New Roman" w:hAnsi="Times New Roman"/>
          <w:sz w:val="20"/>
          <w:szCs w:val="20"/>
        </w:rPr>
        <w:t>recorded in the same quarter last year.</w:t>
      </w:r>
      <w:r w:rsidR="00B95FC8">
        <w:rPr>
          <w:rFonts w:ascii="Times New Roman" w:hAnsi="Times New Roman"/>
          <w:sz w:val="20"/>
          <w:szCs w:val="20"/>
        </w:rPr>
        <w:t xml:space="preserve"> </w:t>
      </w:r>
    </w:p>
    <w:p w:rsidR="00161AF1" w:rsidRDefault="00161AF1" w:rsidP="006829C2">
      <w:pPr>
        <w:spacing w:after="0"/>
        <w:ind w:left="720"/>
        <w:jc w:val="both"/>
        <w:rPr>
          <w:rFonts w:ascii="Times New Roman" w:hAnsi="Times New Roman"/>
          <w:sz w:val="20"/>
          <w:szCs w:val="20"/>
        </w:rPr>
      </w:pPr>
    </w:p>
    <w:p w:rsidR="00161AF1" w:rsidRPr="006972D8" w:rsidRDefault="00161AF1" w:rsidP="006829C2">
      <w:pPr>
        <w:spacing w:after="0"/>
        <w:ind w:left="720"/>
        <w:jc w:val="both"/>
        <w:rPr>
          <w:rFonts w:ascii="Times New Roman" w:hAnsi="Times New Roman"/>
          <w:sz w:val="20"/>
          <w:szCs w:val="20"/>
        </w:rPr>
      </w:pPr>
      <w:r>
        <w:rPr>
          <w:rFonts w:ascii="Times New Roman" w:hAnsi="Times New Roman"/>
          <w:sz w:val="20"/>
          <w:szCs w:val="20"/>
        </w:rPr>
        <w:t>The Group’s fertilisers operations in Medan had been registering losses despite significant cost improvement initiatives made over the years. Although the trading operations for Indonesia remains profitable, the manufacturing plant operations faced the difficulties of operating in</w:t>
      </w:r>
      <w:r w:rsidR="00677E5E">
        <w:rPr>
          <w:rFonts w:ascii="Times New Roman" w:hAnsi="Times New Roman"/>
          <w:sz w:val="20"/>
          <w:szCs w:val="20"/>
        </w:rPr>
        <w:t xml:space="preserve"> the local business environment; which led to the closure of the plant operations in October 2014. The Group anticipated that full ec</w:t>
      </w:r>
      <w:r w:rsidR="00CC6897">
        <w:rPr>
          <w:rFonts w:ascii="Times New Roman" w:hAnsi="Times New Roman"/>
          <w:sz w:val="20"/>
          <w:szCs w:val="20"/>
        </w:rPr>
        <w:t>onomic benefits from the Medan P</w:t>
      </w:r>
      <w:r w:rsidR="00677E5E">
        <w:rPr>
          <w:rFonts w:ascii="Times New Roman" w:hAnsi="Times New Roman"/>
          <w:sz w:val="20"/>
          <w:szCs w:val="20"/>
        </w:rPr>
        <w:t>lant and related current assets may be not be recovered, and impairment of RM36.8million was recognised in the quarter under review.</w:t>
      </w:r>
    </w:p>
    <w:p w:rsidR="00087CA9" w:rsidRPr="006972D8" w:rsidRDefault="00087CA9" w:rsidP="00D1551C">
      <w:pPr>
        <w:spacing w:after="0"/>
        <w:jc w:val="both"/>
        <w:rPr>
          <w:rFonts w:ascii="Times New Roman" w:hAnsi="Times New Roman"/>
          <w:sz w:val="20"/>
          <w:szCs w:val="20"/>
        </w:rPr>
      </w:pPr>
    </w:p>
    <w:p w:rsidR="00D1551C" w:rsidRPr="006972D8" w:rsidRDefault="006829C2" w:rsidP="00087CA9">
      <w:pPr>
        <w:spacing w:after="0"/>
        <w:ind w:left="720"/>
        <w:jc w:val="both"/>
        <w:rPr>
          <w:rFonts w:ascii="Times New Roman" w:hAnsi="Times New Roman"/>
          <w:color w:val="FF0000"/>
          <w:sz w:val="20"/>
          <w:szCs w:val="20"/>
        </w:rPr>
      </w:pPr>
      <w:r w:rsidRPr="006972D8">
        <w:rPr>
          <w:rFonts w:ascii="Times New Roman" w:hAnsi="Times New Roman"/>
          <w:sz w:val="20"/>
          <w:szCs w:val="20"/>
        </w:rPr>
        <w:t xml:space="preserve">Pharmaceuticals Division </w:t>
      </w:r>
      <w:r w:rsidR="00BA1F15" w:rsidRPr="006972D8">
        <w:rPr>
          <w:rFonts w:ascii="Times New Roman" w:hAnsi="Times New Roman"/>
          <w:sz w:val="20"/>
          <w:szCs w:val="20"/>
        </w:rPr>
        <w:t>recorded</w:t>
      </w:r>
      <w:r w:rsidR="00A00E03">
        <w:rPr>
          <w:rFonts w:ascii="Times New Roman" w:hAnsi="Times New Roman"/>
          <w:sz w:val="20"/>
          <w:szCs w:val="20"/>
        </w:rPr>
        <w:t xml:space="preserve"> revenue of RM86.6 million during the qu</w:t>
      </w:r>
      <w:r w:rsidR="008773E8">
        <w:rPr>
          <w:rFonts w:ascii="Times New Roman" w:hAnsi="Times New Roman"/>
          <w:sz w:val="20"/>
          <w:szCs w:val="20"/>
        </w:rPr>
        <w:t>arter under review. This was 6.1</w:t>
      </w:r>
      <w:r w:rsidR="00A00E03">
        <w:rPr>
          <w:rFonts w:ascii="Times New Roman" w:hAnsi="Times New Roman"/>
          <w:sz w:val="20"/>
          <w:szCs w:val="20"/>
        </w:rPr>
        <w:t>% higher compared to the same quarter last year primarily contributed by higher sales from its ethical segment. Pharmaceuticals Division recorded</w:t>
      </w:r>
      <w:r w:rsidR="001856A1">
        <w:rPr>
          <w:rFonts w:ascii="Times New Roman" w:hAnsi="Times New Roman"/>
          <w:sz w:val="20"/>
          <w:szCs w:val="20"/>
        </w:rPr>
        <w:t xml:space="preserve"> </w:t>
      </w:r>
      <w:r w:rsidRPr="006972D8">
        <w:rPr>
          <w:rFonts w:ascii="Times New Roman" w:hAnsi="Times New Roman"/>
          <w:sz w:val="20"/>
          <w:szCs w:val="20"/>
        </w:rPr>
        <w:t xml:space="preserve">profit </w:t>
      </w:r>
      <w:r w:rsidR="00BA1F15" w:rsidRPr="006972D8">
        <w:rPr>
          <w:rFonts w:ascii="Times New Roman" w:hAnsi="Times New Roman"/>
          <w:sz w:val="20"/>
          <w:szCs w:val="20"/>
        </w:rPr>
        <w:t>before tax</w:t>
      </w:r>
      <w:r w:rsidR="00B53912" w:rsidRPr="006972D8">
        <w:rPr>
          <w:rFonts w:ascii="Times New Roman" w:hAnsi="Times New Roman"/>
          <w:sz w:val="20"/>
          <w:szCs w:val="20"/>
        </w:rPr>
        <w:t xml:space="preserve"> of RM</w:t>
      </w:r>
      <w:r w:rsidR="008773E8">
        <w:rPr>
          <w:rFonts w:ascii="Times New Roman" w:hAnsi="Times New Roman"/>
          <w:sz w:val="20"/>
          <w:szCs w:val="20"/>
        </w:rPr>
        <w:t>11.9</w:t>
      </w:r>
      <w:r w:rsidR="00360974" w:rsidRPr="006972D8">
        <w:rPr>
          <w:rFonts w:ascii="Times New Roman" w:hAnsi="Times New Roman"/>
          <w:sz w:val="20"/>
          <w:szCs w:val="20"/>
        </w:rPr>
        <w:t xml:space="preserve"> million</w:t>
      </w:r>
      <w:r w:rsidR="006972D8">
        <w:rPr>
          <w:rFonts w:ascii="Times New Roman" w:hAnsi="Times New Roman"/>
          <w:sz w:val="20"/>
          <w:szCs w:val="20"/>
        </w:rPr>
        <w:t>, a</w:t>
      </w:r>
      <w:r w:rsidR="001856A1">
        <w:rPr>
          <w:rFonts w:ascii="Times New Roman" w:hAnsi="Times New Roman"/>
          <w:sz w:val="20"/>
          <w:szCs w:val="20"/>
        </w:rPr>
        <w:t xml:space="preserve"> </w:t>
      </w:r>
      <w:r w:rsidR="002415CF">
        <w:rPr>
          <w:rFonts w:ascii="Times New Roman" w:hAnsi="Times New Roman"/>
          <w:sz w:val="20"/>
          <w:szCs w:val="20"/>
        </w:rPr>
        <w:t>dec</w:t>
      </w:r>
      <w:r w:rsidR="00B53912" w:rsidRPr="006972D8">
        <w:rPr>
          <w:rFonts w:ascii="Times New Roman" w:hAnsi="Times New Roman"/>
          <w:sz w:val="20"/>
          <w:szCs w:val="20"/>
        </w:rPr>
        <w:t>rease of</w:t>
      </w:r>
      <w:r w:rsidR="006972D8">
        <w:rPr>
          <w:rFonts w:ascii="Times New Roman" w:hAnsi="Times New Roman"/>
          <w:sz w:val="20"/>
          <w:szCs w:val="20"/>
        </w:rPr>
        <w:t xml:space="preserve"> </w:t>
      </w:r>
      <w:r w:rsidR="002415CF">
        <w:rPr>
          <w:rFonts w:ascii="Times New Roman" w:hAnsi="Times New Roman"/>
          <w:sz w:val="20"/>
          <w:szCs w:val="20"/>
        </w:rPr>
        <w:t>9.5</w:t>
      </w:r>
      <w:r w:rsidR="00313F29" w:rsidRPr="006972D8">
        <w:rPr>
          <w:rFonts w:ascii="Times New Roman" w:hAnsi="Times New Roman"/>
          <w:sz w:val="20"/>
          <w:szCs w:val="20"/>
        </w:rPr>
        <w:t>%</w:t>
      </w:r>
      <w:r w:rsidR="00B53912" w:rsidRPr="006972D8">
        <w:rPr>
          <w:rFonts w:ascii="Times New Roman" w:hAnsi="Times New Roman"/>
          <w:sz w:val="20"/>
          <w:szCs w:val="20"/>
        </w:rPr>
        <w:t xml:space="preserve"> as compared to the </w:t>
      </w:r>
      <w:r w:rsidR="00FA45E3" w:rsidRPr="006972D8">
        <w:rPr>
          <w:rFonts w:ascii="Times New Roman" w:hAnsi="Times New Roman"/>
          <w:sz w:val="20"/>
          <w:szCs w:val="20"/>
        </w:rPr>
        <w:t xml:space="preserve">corresponding </w:t>
      </w:r>
      <w:r w:rsidR="00B53912" w:rsidRPr="006972D8">
        <w:rPr>
          <w:rFonts w:ascii="Times New Roman" w:hAnsi="Times New Roman"/>
          <w:sz w:val="20"/>
          <w:szCs w:val="20"/>
        </w:rPr>
        <w:t>quarter</w:t>
      </w:r>
      <w:r w:rsidR="001856A1">
        <w:rPr>
          <w:rFonts w:ascii="Times New Roman" w:hAnsi="Times New Roman"/>
          <w:sz w:val="20"/>
          <w:szCs w:val="20"/>
        </w:rPr>
        <w:t xml:space="preserve"> </w:t>
      </w:r>
      <w:r w:rsidR="00FA45E3" w:rsidRPr="006972D8">
        <w:rPr>
          <w:rFonts w:ascii="Times New Roman" w:hAnsi="Times New Roman"/>
          <w:sz w:val="20"/>
          <w:szCs w:val="20"/>
        </w:rPr>
        <w:t>last year</w:t>
      </w:r>
      <w:r w:rsidR="00A00E03">
        <w:rPr>
          <w:rFonts w:ascii="Times New Roman" w:hAnsi="Times New Roman"/>
          <w:sz w:val="20"/>
          <w:szCs w:val="20"/>
        </w:rPr>
        <w:t>.</w:t>
      </w:r>
      <w:r w:rsidR="006972D8">
        <w:rPr>
          <w:rFonts w:ascii="Times New Roman" w:hAnsi="Times New Roman"/>
          <w:sz w:val="20"/>
          <w:szCs w:val="20"/>
        </w:rPr>
        <w:t xml:space="preserve"> The de</w:t>
      </w:r>
      <w:r w:rsidR="00D1551C" w:rsidRPr="006972D8">
        <w:rPr>
          <w:rFonts w:ascii="Times New Roman" w:hAnsi="Times New Roman"/>
          <w:sz w:val="20"/>
          <w:szCs w:val="20"/>
        </w:rPr>
        <w:t>cr</w:t>
      </w:r>
      <w:r w:rsidR="00565284" w:rsidRPr="006972D8">
        <w:rPr>
          <w:rFonts w:ascii="Times New Roman" w:hAnsi="Times New Roman"/>
          <w:sz w:val="20"/>
          <w:szCs w:val="20"/>
        </w:rPr>
        <w:t xml:space="preserve">ease was mainly </w:t>
      </w:r>
      <w:r w:rsidR="00A00E03">
        <w:rPr>
          <w:rFonts w:ascii="Times New Roman" w:hAnsi="Times New Roman"/>
          <w:sz w:val="20"/>
          <w:szCs w:val="20"/>
        </w:rPr>
        <w:t>due to provisions and write-offs made on inventories during the</w:t>
      </w:r>
      <w:r w:rsidR="00D60483" w:rsidRPr="001E319E">
        <w:rPr>
          <w:rFonts w:ascii="Times New Roman" w:hAnsi="Times New Roman"/>
          <w:sz w:val="20"/>
          <w:szCs w:val="20"/>
        </w:rPr>
        <w:t xml:space="preserve"> quarter under review</w:t>
      </w:r>
      <w:r w:rsidR="00141CDD" w:rsidRPr="001E319E">
        <w:rPr>
          <w:rFonts w:ascii="Times New Roman" w:hAnsi="Times New Roman"/>
          <w:sz w:val="20"/>
          <w:szCs w:val="20"/>
        </w:rPr>
        <w:t>.</w:t>
      </w:r>
    </w:p>
    <w:p w:rsidR="00307912" w:rsidRPr="006972D8" w:rsidRDefault="00307912" w:rsidP="00307912">
      <w:pPr>
        <w:spacing w:after="0"/>
        <w:ind w:left="720"/>
        <w:jc w:val="both"/>
        <w:rPr>
          <w:rFonts w:ascii="Times New Roman" w:hAnsi="Times New Roman"/>
          <w:sz w:val="20"/>
          <w:szCs w:val="20"/>
        </w:rPr>
      </w:pPr>
    </w:p>
    <w:p w:rsidR="00307912" w:rsidRPr="006972D8" w:rsidRDefault="00307912" w:rsidP="00307912">
      <w:pPr>
        <w:spacing w:after="0"/>
        <w:ind w:left="720"/>
        <w:jc w:val="both"/>
        <w:rPr>
          <w:rFonts w:ascii="Times New Roman" w:hAnsi="Times New Roman"/>
          <w:sz w:val="20"/>
          <w:szCs w:val="20"/>
        </w:rPr>
      </w:pPr>
      <w:r w:rsidRPr="006972D8">
        <w:rPr>
          <w:rFonts w:ascii="Times New Roman" w:hAnsi="Times New Roman"/>
          <w:sz w:val="20"/>
          <w:szCs w:val="20"/>
        </w:rPr>
        <w:t>Chemicals Division</w:t>
      </w:r>
      <w:r w:rsidR="001856A1">
        <w:rPr>
          <w:rFonts w:ascii="Times New Roman" w:hAnsi="Times New Roman"/>
          <w:sz w:val="20"/>
          <w:szCs w:val="20"/>
        </w:rPr>
        <w:t>’s revenue of RM66.8</w:t>
      </w:r>
      <w:r w:rsidR="008773E8">
        <w:rPr>
          <w:rFonts w:ascii="Times New Roman" w:hAnsi="Times New Roman"/>
          <w:sz w:val="20"/>
          <w:szCs w:val="20"/>
        </w:rPr>
        <w:t xml:space="preserve"> million for the quarter was 8.0</w:t>
      </w:r>
      <w:r w:rsidR="00292E91">
        <w:rPr>
          <w:rFonts w:ascii="Times New Roman" w:hAnsi="Times New Roman"/>
          <w:sz w:val="20"/>
          <w:szCs w:val="20"/>
        </w:rPr>
        <w:t>%</w:t>
      </w:r>
      <w:r w:rsidR="007D158B">
        <w:rPr>
          <w:rFonts w:ascii="Times New Roman" w:hAnsi="Times New Roman"/>
          <w:sz w:val="20"/>
          <w:szCs w:val="20"/>
        </w:rPr>
        <w:t xml:space="preserve"> lower</w:t>
      </w:r>
      <w:r w:rsidR="00292E91">
        <w:rPr>
          <w:rFonts w:ascii="Times New Roman" w:hAnsi="Times New Roman"/>
          <w:sz w:val="20"/>
          <w:szCs w:val="20"/>
        </w:rPr>
        <w:t xml:space="preserve"> as compared to the same quarter last</w:t>
      </w:r>
      <w:r w:rsidR="00876F98">
        <w:rPr>
          <w:rFonts w:ascii="Times New Roman" w:hAnsi="Times New Roman"/>
          <w:sz w:val="20"/>
          <w:szCs w:val="20"/>
        </w:rPr>
        <w:t xml:space="preserve"> year. The decline</w:t>
      </w:r>
      <w:r w:rsidR="007D158B">
        <w:rPr>
          <w:rFonts w:ascii="Times New Roman" w:hAnsi="Times New Roman"/>
          <w:sz w:val="20"/>
          <w:szCs w:val="20"/>
        </w:rPr>
        <w:t xml:space="preserve"> in its revenue was primarily attributed by the lower trading sales recorded during the quarter. The Division recorded</w:t>
      </w:r>
      <w:r w:rsidRPr="006972D8">
        <w:rPr>
          <w:rFonts w:ascii="Times New Roman" w:hAnsi="Times New Roman"/>
          <w:sz w:val="20"/>
          <w:szCs w:val="20"/>
        </w:rPr>
        <w:t xml:space="preserve"> a </w:t>
      </w:r>
      <w:r w:rsidR="00F1473A">
        <w:rPr>
          <w:rFonts w:ascii="Times New Roman" w:hAnsi="Times New Roman"/>
          <w:sz w:val="20"/>
          <w:szCs w:val="20"/>
        </w:rPr>
        <w:t>lower profit before tax of R</w:t>
      </w:r>
      <w:r w:rsidR="008773E8">
        <w:rPr>
          <w:rFonts w:ascii="Times New Roman" w:hAnsi="Times New Roman"/>
          <w:sz w:val="20"/>
          <w:szCs w:val="20"/>
        </w:rPr>
        <w:t>M3.4</w:t>
      </w:r>
      <w:r w:rsidR="007D158B">
        <w:rPr>
          <w:rFonts w:ascii="Times New Roman" w:hAnsi="Times New Roman"/>
          <w:sz w:val="20"/>
          <w:szCs w:val="20"/>
        </w:rPr>
        <w:t xml:space="preserve"> million as</w:t>
      </w:r>
      <w:r w:rsidRPr="006972D8">
        <w:rPr>
          <w:rFonts w:ascii="Times New Roman" w:hAnsi="Times New Roman"/>
          <w:sz w:val="20"/>
          <w:szCs w:val="20"/>
        </w:rPr>
        <w:t xml:space="preserve"> compar</w:t>
      </w:r>
      <w:r w:rsidR="00D10835" w:rsidRPr="006972D8">
        <w:rPr>
          <w:rFonts w:ascii="Times New Roman" w:hAnsi="Times New Roman"/>
          <w:sz w:val="20"/>
          <w:szCs w:val="20"/>
        </w:rPr>
        <w:t>ed to the corresponding quarter</w:t>
      </w:r>
      <w:r w:rsidR="001856A1">
        <w:rPr>
          <w:rFonts w:ascii="Times New Roman" w:hAnsi="Times New Roman"/>
          <w:sz w:val="20"/>
          <w:szCs w:val="20"/>
        </w:rPr>
        <w:t xml:space="preserve"> </w:t>
      </w:r>
      <w:r w:rsidR="002415CF">
        <w:rPr>
          <w:rFonts w:ascii="Times New Roman" w:hAnsi="Times New Roman"/>
          <w:sz w:val="20"/>
          <w:szCs w:val="20"/>
        </w:rPr>
        <w:t>last year of RM3</w:t>
      </w:r>
      <w:r w:rsidR="007D158B">
        <w:rPr>
          <w:rFonts w:ascii="Times New Roman" w:hAnsi="Times New Roman"/>
          <w:sz w:val="20"/>
          <w:szCs w:val="20"/>
        </w:rPr>
        <w:t>.9</w:t>
      </w:r>
      <w:r w:rsidR="001856A1">
        <w:rPr>
          <w:rFonts w:ascii="Times New Roman" w:hAnsi="Times New Roman"/>
          <w:sz w:val="20"/>
          <w:szCs w:val="20"/>
        </w:rPr>
        <w:t xml:space="preserve"> </w:t>
      </w:r>
      <w:r w:rsidR="007D158B">
        <w:rPr>
          <w:rFonts w:ascii="Times New Roman" w:hAnsi="Times New Roman"/>
          <w:sz w:val="20"/>
          <w:szCs w:val="20"/>
        </w:rPr>
        <w:t>million, attributed by lower sales and impairment on receivables and inventories recognised in the quarter under review.</w:t>
      </w:r>
    </w:p>
    <w:p w:rsidR="00D1551C" w:rsidRPr="006972D8" w:rsidRDefault="00D1551C" w:rsidP="00087CA9">
      <w:pPr>
        <w:spacing w:after="0"/>
        <w:ind w:left="720"/>
        <w:jc w:val="both"/>
        <w:rPr>
          <w:rFonts w:ascii="Times New Roman" w:hAnsi="Times New Roman"/>
          <w:sz w:val="20"/>
          <w:szCs w:val="20"/>
        </w:rPr>
      </w:pPr>
    </w:p>
    <w:p w:rsidR="00CB2B13" w:rsidRDefault="002B4766" w:rsidP="00087CA9">
      <w:pPr>
        <w:spacing w:after="0"/>
        <w:ind w:left="720"/>
        <w:jc w:val="both"/>
        <w:rPr>
          <w:rFonts w:ascii="Times New Roman" w:hAnsi="Times New Roman"/>
          <w:sz w:val="20"/>
          <w:szCs w:val="20"/>
        </w:rPr>
      </w:pPr>
      <w:r w:rsidRPr="006972D8">
        <w:rPr>
          <w:rFonts w:ascii="Times New Roman" w:hAnsi="Times New Roman"/>
          <w:sz w:val="20"/>
          <w:szCs w:val="20"/>
        </w:rPr>
        <w:t>Fertilizers Division</w:t>
      </w:r>
      <w:r w:rsidR="007E047E" w:rsidRPr="006972D8">
        <w:rPr>
          <w:rFonts w:ascii="Times New Roman" w:hAnsi="Times New Roman"/>
          <w:sz w:val="20"/>
          <w:szCs w:val="20"/>
        </w:rPr>
        <w:t xml:space="preserve"> recorded</w:t>
      </w:r>
      <w:r w:rsidR="00E517D2" w:rsidRPr="006972D8">
        <w:rPr>
          <w:rFonts w:ascii="Times New Roman" w:hAnsi="Times New Roman"/>
          <w:sz w:val="20"/>
          <w:szCs w:val="20"/>
        </w:rPr>
        <w:t xml:space="preserve"> revenue</w:t>
      </w:r>
      <w:r w:rsidR="001856A1">
        <w:rPr>
          <w:rFonts w:ascii="Times New Roman" w:hAnsi="Times New Roman"/>
          <w:sz w:val="20"/>
          <w:szCs w:val="20"/>
        </w:rPr>
        <w:t xml:space="preserve"> </w:t>
      </w:r>
      <w:r w:rsidR="007E047E" w:rsidRPr="006972D8">
        <w:rPr>
          <w:rFonts w:ascii="Times New Roman" w:hAnsi="Times New Roman"/>
          <w:sz w:val="20"/>
          <w:szCs w:val="20"/>
        </w:rPr>
        <w:t xml:space="preserve">of </w:t>
      </w:r>
      <w:r w:rsidR="001856A1">
        <w:rPr>
          <w:rFonts w:ascii="Times New Roman" w:hAnsi="Times New Roman"/>
          <w:sz w:val="20"/>
          <w:szCs w:val="20"/>
        </w:rPr>
        <w:t>RM87.9</w:t>
      </w:r>
      <w:r w:rsidR="00565284" w:rsidRPr="006972D8">
        <w:rPr>
          <w:rFonts w:ascii="Times New Roman" w:hAnsi="Times New Roman"/>
          <w:sz w:val="20"/>
          <w:szCs w:val="20"/>
        </w:rPr>
        <w:t xml:space="preserve"> million </w:t>
      </w:r>
      <w:r w:rsidR="00D10835" w:rsidRPr="006972D8">
        <w:rPr>
          <w:rFonts w:ascii="Times New Roman" w:hAnsi="Times New Roman"/>
          <w:sz w:val="20"/>
          <w:szCs w:val="20"/>
        </w:rPr>
        <w:t>during the quarter</w:t>
      </w:r>
      <w:r w:rsidR="007E047E" w:rsidRPr="006972D8">
        <w:rPr>
          <w:rFonts w:ascii="Times New Roman" w:hAnsi="Times New Roman"/>
          <w:sz w:val="20"/>
          <w:szCs w:val="20"/>
        </w:rPr>
        <w:t xml:space="preserve"> under re</w:t>
      </w:r>
      <w:r w:rsidR="00F1473A">
        <w:rPr>
          <w:rFonts w:ascii="Times New Roman" w:hAnsi="Times New Roman"/>
          <w:sz w:val="20"/>
          <w:szCs w:val="20"/>
        </w:rPr>
        <w:t>view. This was 38.1</w:t>
      </w:r>
      <w:r w:rsidR="003A250E" w:rsidRPr="006972D8">
        <w:rPr>
          <w:rFonts w:ascii="Times New Roman" w:hAnsi="Times New Roman"/>
          <w:sz w:val="20"/>
          <w:szCs w:val="20"/>
        </w:rPr>
        <w:t xml:space="preserve">% lower compared to the </w:t>
      </w:r>
      <w:r w:rsidR="007E047E" w:rsidRPr="006972D8">
        <w:rPr>
          <w:rFonts w:ascii="Times New Roman" w:hAnsi="Times New Roman"/>
          <w:sz w:val="20"/>
          <w:szCs w:val="20"/>
        </w:rPr>
        <w:t xml:space="preserve">same </w:t>
      </w:r>
      <w:r w:rsidR="00D10835" w:rsidRPr="006972D8">
        <w:rPr>
          <w:rFonts w:ascii="Times New Roman" w:hAnsi="Times New Roman"/>
          <w:sz w:val="20"/>
          <w:szCs w:val="20"/>
        </w:rPr>
        <w:t>quarter</w:t>
      </w:r>
      <w:r w:rsidR="001856A1">
        <w:rPr>
          <w:rFonts w:ascii="Times New Roman" w:hAnsi="Times New Roman"/>
          <w:sz w:val="20"/>
          <w:szCs w:val="20"/>
        </w:rPr>
        <w:t xml:space="preserve"> </w:t>
      </w:r>
      <w:r w:rsidR="007E047E" w:rsidRPr="006972D8">
        <w:rPr>
          <w:rFonts w:ascii="Times New Roman" w:hAnsi="Times New Roman"/>
          <w:sz w:val="20"/>
          <w:szCs w:val="20"/>
        </w:rPr>
        <w:t>last year</w:t>
      </w:r>
      <w:r w:rsidR="008C3233" w:rsidRPr="006972D8">
        <w:rPr>
          <w:rFonts w:ascii="Times New Roman" w:hAnsi="Times New Roman"/>
          <w:sz w:val="20"/>
          <w:szCs w:val="20"/>
        </w:rPr>
        <w:t xml:space="preserve"> primarily</w:t>
      </w:r>
      <w:r w:rsidR="001856A1">
        <w:rPr>
          <w:rFonts w:ascii="Times New Roman" w:hAnsi="Times New Roman"/>
          <w:sz w:val="20"/>
          <w:szCs w:val="20"/>
        </w:rPr>
        <w:t xml:space="preserve">  </w:t>
      </w:r>
      <w:r w:rsidR="002E297A" w:rsidRPr="006972D8">
        <w:rPr>
          <w:rFonts w:ascii="Times New Roman" w:hAnsi="Times New Roman"/>
          <w:sz w:val="20"/>
          <w:szCs w:val="20"/>
        </w:rPr>
        <w:t>contr</w:t>
      </w:r>
      <w:r w:rsidR="00637573">
        <w:rPr>
          <w:rFonts w:ascii="Times New Roman" w:hAnsi="Times New Roman"/>
          <w:sz w:val="20"/>
          <w:szCs w:val="20"/>
        </w:rPr>
        <w:t>ibuted by lower sales to distributors segment</w:t>
      </w:r>
      <w:r w:rsidR="00E01D34" w:rsidRPr="006972D8">
        <w:rPr>
          <w:rFonts w:ascii="Times New Roman" w:hAnsi="Times New Roman"/>
          <w:sz w:val="20"/>
          <w:szCs w:val="20"/>
        </w:rPr>
        <w:t xml:space="preserve"> and competitive pricing for the plantation sector</w:t>
      </w:r>
      <w:r w:rsidR="002E297A" w:rsidRPr="006972D8">
        <w:rPr>
          <w:rFonts w:ascii="Times New Roman" w:hAnsi="Times New Roman"/>
          <w:sz w:val="20"/>
          <w:szCs w:val="20"/>
        </w:rPr>
        <w:t xml:space="preserve">. </w:t>
      </w:r>
      <w:r w:rsidR="00032D42" w:rsidRPr="006972D8">
        <w:rPr>
          <w:rFonts w:ascii="Times New Roman" w:hAnsi="Times New Roman"/>
          <w:sz w:val="20"/>
          <w:szCs w:val="20"/>
        </w:rPr>
        <w:t>Fertilizers Division rec</w:t>
      </w:r>
      <w:r w:rsidR="00F1473A">
        <w:rPr>
          <w:rFonts w:ascii="Times New Roman" w:hAnsi="Times New Roman"/>
          <w:sz w:val="20"/>
          <w:szCs w:val="20"/>
        </w:rPr>
        <w:t>o</w:t>
      </w:r>
      <w:r w:rsidR="008773E8">
        <w:rPr>
          <w:rFonts w:ascii="Times New Roman" w:hAnsi="Times New Roman"/>
          <w:sz w:val="20"/>
          <w:szCs w:val="20"/>
        </w:rPr>
        <w:t>rded a loss before tax of RM48.5</w:t>
      </w:r>
      <w:r w:rsidR="00032D42" w:rsidRPr="006972D8">
        <w:rPr>
          <w:rFonts w:ascii="Times New Roman" w:hAnsi="Times New Roman"/>
          <w:sz w:val="20"/>
          <w:szCs w:val="20"/>
        </w:rPr>
        <w:t xml:space="preserve"> million</w:t>
      </w:r>
      <w:r w:rsidR="00F1473A">
        <w:rPr>
          <w:rFonts w:ascii="Times New Roman" w:hAnsi="Times New Roman"/>
          <w:sz w:val="20"/>
          <w:szCs w:val="20"/>
        </w:rPr>
        <w:t xml:space="preserve"> during the quarter as compared</w:t>
      </w:r>
      <w:r w:rsidR="001856A1">
        <w:rPr>
          <w:rFonts w:ascii="Times New Roman" w:hAnsi="Times New Roman"/>
          <w:sz w:val="20"/>
          <w:szCs w:val="20"/>
        </w:rPr>
        <w:t xml:space="preserve">  </w:t>
      </w:r>
      <w:r w:rsidR="00F1473A">
        <w:rPr>
          <w:rFonts w:ascii="Times New Roman" w:hAnsi="Times New Roman"/>
          <w:sz w:val="20"/>
          <w:szCs w:val="20"/>
        </w:rPr>
        <w:t>to RM9.3</w:t>
      </w:r>
      <w:r w:rsidR="00032D42" w:rsidRPr="006972D8">
        <w:rPr>
          <w:rFonts w:ascii="Times New Roman" w:hAnsi="Times New Roman"/>
          <w:sz w:val="20"/>
          <w:szCs w:val="20"/>
        </w:rPr>
        <w:t xml:space="preserve"> million</w:t>
      </w:r>
      <w:r w:rsidR="001856A1">
        <w:rPr>
          <w:rFonts w:ascii="Times New Roman" w:hAnsi="Times New Roman"/>
          <w:sz w:val="20"/>
          <w:szCs w:val="20"/>
        </w:rPr>
        <w:t xml:space="preserve">  </w:t>
      </w:r>
      <w:r w:rsidR="00032D42" w:rsidRPr="006972D8">
        <w:rPr>
          <w:rFonts w:ascii="Times New Roman" w:hAnsi="Times New Roman"/>
          <w:sz w:val="20"/>
          <w:szCs w:val="20"/>
        </w:rPr>
        <w:t>in the same quarter las</w:t>
      </w:r>
      <w:r w:rsidR="00F1473A">
        <w:rPr>
          <w:rFonts w:ascii="Times New Roman" w:hAnsi="Times New Roman"/>
          <w:sz w:val="20"/>
          <w:szCs w:val="20"/>
        </w:rPr>
        <w:t xml:space="preserve">t year. </w:t>
      </w:r>
      <w:r w:rsidR="00261A50">
        <w:rPr>
          <w:rFonts w:ascii="Times New Roman" w:hAnsi="Times New Roman"/>
          <w:sz w:val="20"/>
          <w:szCs w:val="20"/>
        </w:rPr>
        <w:t xml:space="preserve">The </w:t>
      </w:r>
      <w:r w:rsidR="006909B4" w:rsidRPr="006972D8">
        <w:rPr>
          <w:rFonts w:ascii="Times New Roman" w:hAnsi="Times New Roman"/>
          <w:sz w:val="20"/>
          <w:szCs w:val="20"/>
        </w:rPr>
        <w:t>loss incurred</w:t>
      </w:r>
      <w:r w:rsidR="001857A5" w:rsidRPr="006972D8">
        <w:rPr>
          <w:rFonts w:ascii="Times New Roman" w:hAnsi="Times New Roman"/>
          <w:sz w:val="20"/>
          <w:szCs w:val="20"/>
        </w:rPr>
        <w:t xml:space="preserve"> for</w:t>
      </w:r>
      <w:r w:rsidR="00032D42" w:rsidRPr="006972D8">
        <w:rPr>
          <w:rFonts w:ascii="Times New Roman" w:hAnsi="Times New Roman"/>
          <w:sz w:val="20"/>
          <w:szCs w:val="20"/>
        </w:rPr>
        <w:t xml:space="preserve"> the quarter</w:t>
      </w:r>
      <w:r w:rsidR="006909B4" w:rsidRPr="006972D8">
        <w:rPr>
          <w:rFonts w:ascii="Times New Roman" w:hAnsi="Times New Roman"/>
          <w:sz w:val="20"/>
          <w:szCs w:val="20"/>
        </w:rPr>
        <w:t>,</w:t>
      </w:r>
      <w:r w:rsidR="00032D42" w:rsidRPr="006972D8">
        <w:rPr>
          <w:rFonts w:ascii="Times New Roman" w:hAnsi="Times New Roman"/>
          <w:sz w:val="20"/>
          <w:szCs w:val="20"/>
        </w:rPr>
        <w:t xml:space="preserve"> was primar</w:t>
      </w:r>
      <w:r w:rsidR="001857A5" w:rsidRPr="006972D8">
        <w:rPr>
          <w:rFonts w:ascii="Times New Roman" w:hAnsi="Times New Roman"/>
          <w:sz w:val="20"/>
          <w:szCs w:val="20"/>
        </w:rPr>
        <w:t>il</w:t>
      </w:r>
      <w:r w:rsidR="006909B4" w:rsidRPr="006972D8">
        <w:rPr>
          <w:rFonts w:ascii="Times New Roman" w:hAnsi="Times New Roman"/>
          <w:sz w:val="20"/>
          <w:szCs w:val="20"/>
        </w:rPr>
        <w:t xml:space="preserve">y due to </w:t>
      </w:r>
      <w:r w:rsidR="00F1473A">
        <w:rPr>
          <w:rFonts w:ascii="Times New Roman" w:hAnsi="Times New Roman"/>
          <w:sz w:val="20"/>
          <w:szCs w:val="20"/>
        </w:rPr>
        <w:t xml:space="preserve">the impairment </w:t>
      </w:r>
      <w:r w:rsidR="009A5A6C">
        <w:rPr>
          <w:rFonts w:ascii="Times New Roman" w:hAnsi="Times New Roman"/>
          <w:sz w:val="20"/>
          <w:szCs w:val="20"/>
        </w:rPr>
        <w:t>of RM36.8 million</w:t>
      </w:r>
      <w:r w:rsidR="00CC6897">
        <w:rPr>
          <w:rFonts w:ascii="Times New Roman" w:hAnsi="Times New Roman"/>
          <w:sz w:val="20"/>
          <w:szCs w:val="20"/>
        </w:rPr>
        <w:t xml:space="preserve"> made against Medan P</w:t>
      </w:r>
      <w:r w:rsidR="00261A50">
        <w:rPr>
          <w:rFonts w:ascii="Times New Roman" w:hAnsi="Times New Roman"/>
          <w:sz w:val="20"/>
          <w:szCs w:val="20"/>
        </w:rPr>
        <w:t>lant</w:t>
      </w:r>
      <w:r w:rsidR="009A5A6C">
        <w:rPr>
          <w:rFonts w:ascii="Times New Roman" w:hAnsi="Times New Roman"/>
          <w:sz w:val="20"/>
          <w:szCs w:val="20"/>
        </w:rPr>
        <w:t xml:space="preserve"> </w:t>
      </w:r>
      <w:r w:rsidR="00CC6897">
        <w:rPr>
          <w:rFonts w:ascii="Times New Roman" w:hAnsi="Times New Roman"/>
          <w:sz w:val="20"/>
          <w:szCs w:val="20"/>
        </w:rPr>
        <w:t xml:space="preserve">related </w:t>
      </w:r>
      <w:r w:rsidR="009A5A6C">
        <w:rPr>
          <w:rFonts w:ascii="Times New Roman" w:hAnsi="Times New Roman"/>
          <w:sz w:val="20"/>
          <w:szCs w:val="20"/>
        </w:rPr>
        <w:t>assets</w:t>
      </w:r>
      <w:r w:rsidR="00261A50">
        <w:rPr>
          <w:rFonts w:ascii="Times New Roman" w:hAnsi="Times New Roman"/>
          <w:sz w:val="20"/>
          <w:szCs w:val="20"/>
        </w:rPr>
        <w:t xml:space="preserve"> due to cessation of</w:t>
      </w:r>
      <w:r w:rsidR="009A5A6C">
        <w:rPr>
          <w:rFonts w:ascii="Times New Roman" w:hAnsi="Times New Roman"/>
          <w:sz w:val="20"/>
          <w:szCs w:val="20"/>
        </w:rPr>
        <w:t xml:space="preserve"> its manufacturing plant</w:t>
      </w:r>
      <w:r w:rsidR="00261A50">
        <w:rPr>
          <w:rFonts w:ascii="Times New Roman" w:hAnsi="Times New Roman"/>
          <w:sz w:val="20"/>
          <w:szCs w:val="20"/>
        </w:rPr>
        <w:t xml:space="preserve"> operations. </w:t>
      </w:r>
    </w:p>
    <w:p w:rsidR="00261A50" w:rsidRDefault="00261A50" w:rsidP="00087CA9">
      <w:pPr>
        <w:spacing w:after="0"/>
        <w:ind w:left="720"/>
        <w:jc w:val="both"/>
        <w:rPr>
          <w:rFonts w:ascii="Times New Roman" w:hAnsi="Times New Roman"/>
          <w:sz w:val="20"/>
          <w:szCs w:val="20"/>
        </w:rPr>
      </w:pPr>
    </w:p>
    <w:p w:rsidR="00876F98" w:rsidRDefault="00876F98" w:rsidP="00087CA9">
      <w:pPr>
        <w:spacing w:after="0"/>
        <w:ind w:left="720"/>
        <w:jc w:val="both"/>
        <w:rPr>
          <w:rFonts w:ascii="Times New Roman" w:hAnsi="Times New Roman"/>
          <w:sz w:val="20"/>
          <w:szCs w:val="20"/>
        </w:rPr>
      </w:pPr>
    </w:p>
    <w:p w:rsidR="00876F98" w:rsidRDefault="00876F98" w:rsidP="00087CA9">
      <w:pPr>
        <w:spacing w:after="0"/>
        <w:ind w:left="720"/>
        <w:jc w:val="both"/>
        <w:rPr>
          <w:rFonts w:ascii="Times New Roman" w:hAnsi="Times New Roman"/>
          <w:sz w:val="20"/>
          <w:szCs w:val="20"/>
        </w:rPr>
      </w:pPr>
    </w:p>
    <w:p w:rsidR="00876F98" w:rsidRDefault="00876F98" w:rsidP="00087CA9">
      <w:pPr>
        <w:spacing w:after="0"/>
        <w:ind w:left="720"/>
        <w:jc w:val="both"/>
        <w:rPr>
          <w:rFonts w:ascii="Times New Roman" w:hAnsi="Times New Roman"/>
          <w:sz w:val="20"/>
          <w:szCs w:val="20"/>
        </w:rPr>
      </w:pPr>
    </w:p>
    <w:p w:rsidR="00876F98" w:rsidRDefault="00876F98" w:rsidP="00087CA9">
      <w:pPr>
        <w:spacing w:after="0"/>
        <w:ind w:left="720"/>
        <w:jc w:val="both"/>
        <w:rPr>
          <w:rFonts w:ascii="Times New Roman" w:hAnsi="Times New Roman"/>
          <w:sz w:val="20"/>
          <w:szCs w:val="20"/>
        </w:rPr>
      </w:pPr>
    </w:p>
    <w:p w:rsidR="00876F98" w:rsidRDefault="00876F98" w:rsidP="00087CA9">
      <w:pPr>
        <w:spacing w:after="0"/>
        <w:ind w:left="720"/>
        <w:jc w:val="both"/>
        <w:rPr>
          <w:rFonts w:ascii="Times New Roman" w:hAnsi="Times New Roman"/>
          <w:sz w:val="20"/>
          <w:szCs w:val="20"/>
        </w:rPr>
      </w:pPr>
    </w:p>
    <w:p w:rsidR="00CB2B13" w:rsidRDefault="00CB2B13" w:rsidP="00CB2B13">
      <w:pPr>
        <w:spacing w:after="0"/>
        <w:ind w:left="720"/>
        <w:jc w:val="both"/>
        <w:outlineLvl w:val="0"/>
        <w:rPr>
          <w:rFonts w:ascii="Times New Roman" w:hAnsi="Times New Roman"/>
          <w:sz w:val="20"/>
          <w:szCs w:val="20"/>
          <w:u w:val="single"/>
        </w:rPr>
      </w:pPr>
      <w:r w:rsidRPr="00454F17">
        <w:rPr>
          <w:rFonts w:ascii="Times New Roman" w:hAnsi="Times New Roman"/>
          <w:sz w:val="20"/>
          <w:szCs w:val="20"/>
          <w:u w:val="single"/>
        </w:rPr>
        <w:t xml:space="preserve">Commentary for </w:t>
      </w:r>
      <w:r>
        <w:rPr>
          <w:rFonts w:ascii="Times New Roman" w:hAnsi="Times New Roman"/>
          <w:sz w:val="20"/>
          <w:szCs w:val="20"/>
          <w:u w:val="single"/>
        </w:rPr>
        <w:t>C</w:t>
      </w:r>
      <w:r w:rsidR="0007009B">
        <w:rPr>
          <w:rFonts w:ascii="Times New Roman" w:hAnsi="Times New Roman"/>
          <w:sz w:val="20"/>
          <w:szCs w:val="20"/>
          <w:u w:val="single"/>
        </w:rPr>
        <w:t>umula</w:t>
      </w:r>
      <w:r w:rsidR="00155493">
        <w:rPr>
          <w:rFonts w:ascii="Times New Roman" w:hAnsi="Times New Roman"/>
          <w:sz w:val="20"/>
          <w:szCs w:val="20"/>
          <w:u w:val="single"/>
        </w:rPr>
        <w:t>tive Quarters ended 31 December</w:t>
      </w:r>
      <w:r>
        <w:rPr>
          <w:rFonts w:ascii="Times New Roman" w:hAnsi="Times New Roman"/>
          <w:sz w:val="20"/>
          <w:szCs w:val="20"/>
          <w:u w:val="single"/>
        </w:rPr>
        <w:t xml:space="preserve"> 2014</w:t>
      </w:r>
    </w:p>
    <w:p w:rsidR="00CB2B13" w:rsidRPr="00454F17" w:rsidRDefault="00CB2B13" w:rsidP="00CB2B13">
      <w:pPr>
        <w:spacing w:after="0"/>
        <w:ind w:left="720"/>
        <w:jc w:val="both"/>
        <w:rPr>
          <w:rFonts w:ascii="Times New Roman" w:hAnsi="Times New Roman"/>
          <w:sz w:val="20"/>
          <w:szCs w:val="20"/>
          <w:u w:val="single"/>
        </w:rPr>
      </w:pPr>
    </w:p>
    <w:p w:rsidR="00416600" w:rsidRDefault="00155493" w:rsidP="0019358E">
      <w:pPr>
        <w:spacing w:after="0"/>
        <w:ind w:left="720"/>
        <w:jc w:val="both"/>
        <w:rPr>
          <w:rFonts w:ascii="Times New Roman" w:hAnsi="Times New Roman"/>
          <w:sz w:val="20"/>
          <w:szCs w:val="20"/>
        </w:rPr>
      </w:pPr>
      <w:r w:rsidRPr="00CF29F8">
        <w:rPr>
          <w:rFonts w:ascii="Times New Roman" w:hAnsi="Times New Roman"/>
          <w:sz w:val="20"/>
          <w:szCs w:val="20"/>
        </w:rPr>
        <w:t>For the twelve months period ended 31 December</w:t>
      </w:r>
      <w:r w:rsidR="00CB2B13" w:rsidRPr="00CF29F8">
        <w:rPr>
          <w:rFonts w:ascii="Times New Roman" w:hAnsi="Times New Roman"/>
          <w:sz w:val="20"/>
          <w:szCs w:val="20"/>
        </w:rPr>
        <w:t xml:space="preserve"> 2014, the Group recorded revenue of </w:t>
      </w:r>
      <w:r w:rsidR="00CB1005" w:rsidRPr="00CF29F8">
        <w:rPr>
          <w:rFonts w:ascii="Times New Roman" w:hAnsi="Times New Roman"/>
          <w:sz w:val="20"/>
          <w:szCs w:val="20"/>
        </w:rPr>
        <w:t>RM1,</w:t>
      </w:r>
      <w:r w:rsidR="00F1473A" w:rsidRPr="00CF29F8">
        <w:rPr>
          <w:rFonts w:ascii="Times New Roman" w:hAnsi="Times New Roman"/>
          <w:sz w:val="20"/>
          <w:szCs w:val="20"/>
        </w:rPr>
        <w:t>08</w:t>
      </w:r>
      <w:r w:rsidR="00CB1005" w:rsidRPr="00CF29F8">
        <w:rPr>
          <w:rFonts w:ascii="Times New Roman" w:hAnsi="Times New Roman"/>
          <w:sz w:val="20"/>
          <w:szCs w:val="20"/>
        </w:rPr>
        <w:t>8.5</w:t>
      </w:r>
      <w:r w:rsidR="00CB2B13" w:rsidRPr="00CF29F8">
        <w:rPr>
          <w:rFonts w:ascii="Times New Roman" w:hAnsi="Times New Roman"/>
          <w:sz w:val="20"/>
          <w:szCs w:val="20"/>
        </w:rPr>
        <w:t xml:space="preserve"> m</w:t>
      </w:r>
      <w:r w:rsidR="00811449" w:rsidRPr="00CF29F8">
        <w:rPr>
          <w:rFonts w:ascii="Times New Roman" w:hAnsi="Times New Roman"/>
          <w:sz w:val="20"/>
          <w:szCs w:val="20"/>
        </w:rPr>
        <w:t xml:space="preserve">illion. This was lower by </w:t>
      </w:r>
      <w:r w:rsidR="008773E8" w:rsidRPr="00CF29F8">
        <w:rPr>
          <w:rFonts w:ascii="Times New Roman" w:hAnsi="Times New Roman"/>
          <w:sz w:val="20"/>
          <w:szCs w:val="20"/>
        </w:rPr>
        <w:t>RM200.0 million or 15.5</w:t>
      </w:r>
      <w:r w:rsidR="00CB2B13" w:rsidRPr="00CF29F8">
        <w:rPr>
          <w:rFonts w:ascii="Times New Roman" w:hAnsi="Times New Roman"/>
          <w:sz w:val="20"/>
          <w:szCs w:val="20"/>
        </w:rPr>
        <w:t xml:space="preserve">% as compared to the corresponding period last year. Lower sales were recorded by Chemicals and Fertilizers Divisions. </w:t>
      </w:r>
      <w:r w:rsidR="0052173A" w:rsidRPr="00CF29F8">
        <w:rPr>
          <w:rFonts w:ascii="Times New Roman" w:hAnsi="Times New Roman"/>
          <w:sz w:val="20"/>
          <w:szCs w:val="20"/>
        </w:rPr>
        <w:t>The Group recorded an operating profit before tax (excluding impairment loss on Medan Plant) of RM16.1 million in the period under review, as compared to profi</w:t>
      </w:r>
      <w:r w:rsidR="002E156B" w:rsidRPr="00CF29F8">
        <w:rPr>
          <w:rFonts w:ascii="Times New Roman" w:hAnsi="Times New Roman"/>
          <w:sz w:val="20"/>
          <w:szCs w:val="20"/>
        </w:rPr>
        <w:t>t before tax of RM20.9 million in same period  last year.</w:t>
      </w:r>
      <w:r w:rsidR="0019358E">
        <w:rPr>
          <w:rFonts w:ascii="Times New Roman" w:hAnsi="Times New Roman"/>
          <w:sz w:val="20"/>
          <w:szCs w:val="20"/>
        </w:rPr>
        <w:t xml:space="preserve"> </w:t>
      </w:r>
    </w:p>
    <w:p w:rsidR="00416600" w:rsidRDefault="00416600" w:rsidP="0019358E">
      <w:pPr>
        <w:spacing w:after="0"/>
        <w:ind w:left="720"/>
        <w:jc w:val="both"/>
        <w:rPr>
          <w:rFonts w:ascii="Times New Roman" w:hAnsi="Times New Roman"/>
          <w:sz w:val="20"/>
          <w:szCs w:val="20"/>
        </w:rPr>
      </w:pPr>
    </w:p>
    <w:p w:rsidR="009A5A6C" w:rsidRPr="00CF29F8" w:rsidRDefault="0019358E" w:rsidP="0019358E">
      <w:pPr>
        <w:spacing w:after="0"/>
        <w:ind w:left="720"/>
        <w:jc w:val="both"/>
        <w:rPr>
          <w:rFonts w:ascii="Times New Roman" w:hAnsi="Times New Roman"/>
          <w:sz w:val="20"/>
          <w:szCs w:val="20"/>
        </w:rPr>
      </w:pPr>
      <w:r>
        <w:rPr>
          <w:rFonts w:ascii="Times New Roman" w:hAnsi="Times New Roman"/>
          <w:sz w:val="20"/>
          <w:szCs w:val="20"/>
        </w:rPr>
        <w:t>T</w:t>
      </w:r>
      <w:r w:rsidR="0052173A" w:rsidRPr="00CF29F8">
        <w:rPr>
          <w:rFonts w:ascii="Times New Roman" w:hAnsi="Times New Roman"/>
          <w:sz w:val="20"/>
          <w:szCs w:val="20"/>
        </w:rPr>
        <w:t>he Group recorded a loss</w:t>
      </w:r>
      <w:r w:rsidR="009A5A6C" w:rsidRPr="00CF29F8">
        <w:rPr>
          <w:rFonts w:ascii="Times New Roman" w:hAnsi="Times New Roman"/>
          <w:sz w:val="20"/>
          <w:szCs w:val="20"/>
        </w:rPr>
        <w:t xml:space="preserve"> before tax</w:t>
      </w:r>
      <w:r w:rsidR="0052173A" w:rsidRPr="00CF29F8">
        <w:rPr>
          <w:rFonts w:ascii="Times New Roman" w:hAnsi="Times New Roman"/>
          <w:sz w:val="20"/>
          <w:szCs w:val="20"/>
        </w:rPr>
        <w:t xml:space="preserve"> of RM20.7 million after recognition of the impairment loss of </w:t>
      </w:r>
      <w:r w:rsidR="009A5A6C" w:rsidRPr="00CF29F8">
        <w:rPr>
          <w:rFonts w:ascii="Times New Roman" w:hAnsi="Times New Roman"/>
          <w:sz w:val="20"/>
          <w:szCs w:val="20"/>
        </w:rPr>
        <w:t>RM36.8</w:t>
      </w:r>
      <w:r w:rsidR="00CB1005" w:rsidRPr="00CF29F8">
        <w:rPr>
          <w:rFonts w:ascii="Times New Roman" w:hAnsi="Times New Roman"/>
          <w:sz w:val="20"/>
          <w:szCs w:val="20"/>
        </w:rPr>
        <w:t xml:space="preserve"> </w:t>
      </w:r>
      <w:r w:rsidR="009A5A6C" w:rsidRPr="00CF29F8">
        <w:rPr>
          <w:rFonts w:ascii="Times New Roman" w:hAnsi="Times New Roman"/>
          <w:sz w:val="20"/>
          <w:szCs w:val="20"/>
        </w:rPr>
        <w:t>million</w:t>
      </w:r>
      <w:r w:rsidR="0052173A" w:rsidRPr="00CF29F8">
        <w:rPr>
          <w:rFonts w:ascii="Times New Roman" w:hAnsi="Times New Roman"/>
          <w:sz w:val="20"/>
          <w:szCs w:val="20"/>
        </w:rPr>
        <w:t xml:space="preserve"> </w:t>
      </w:r>
      <w:r w:rsidR="00876F98" w:rsidRPr="00CF29F8">
        <w:rPr>
          <w:rFonts w:ascii="Times New Roman" w:hAnsi="Times New Roman"/>
          <w:sz w:val="20"/>
          <w:szCs w:val="20"/>
        </w:rPr>
        <w:t>made on its Medan P</w:t>
      </w:r>
      <w:r w:rsidR="0052173A" w:rsidRPr="00CF29F8">
        <w:rPr>
          <w:rFonts w:ascii="Times New Roman" w:hAnsi="Times New Roman"/>
          <w:sz w:val="20"/>
          <w:szCs w:val="20"/>
        </w:rPr>
        <w:t>lant assets. Taking prudent measure</w:t>
      </w:r>
      <w:r w:rsidR="00991307" w:rsidRPr="00CF29F8">
        <w:rPr>
          <w:rFonts w:ascii="Times New Roman" w:hAnsi="Times New Roman"/>
          <w:sz w:val="20"/>
          <w:szCs w:val="20"/>
        </w:rPr>
        <w:t>s</w:t>
      </w:r>
      <w:r w:rsidR="0052173A" w:rsidRPr="00CF29F8">
        <w:rPr>
          <w:rFonts w:ascii="Times New Roman" w:hAnsi="Times New Roman"/>
          <w:sz w:val="20"/>
          <w:szCs w:val="20"/>
        </w:rPr>
        <w:t>,</w:t>
      </w:r>
      <w:r w:rsidR="009A5A6C" w:rsidRPr="00CF29F8">
        <w:rPr>
          <w:rFonts w:ascii="Times New Roman" w:hAnsi="Times New Roman"/>
          <w:sz w:val="20"/>
          <w:szCs w:val="20"/>
        </w:rPr>
        <w:t xml:space="preserve"> the Group has assessed that </w:t>
      </w:r>
      <w:r w:rsidR="0052173A" w:rsidRPr="00CF29F8">
        <w:rPr>
          <w:rFonts w:ascii="Times New Roman" w:hAnsi="Times New Roman"/>
          <w:sz w:val="20"/>
          <w:szCs w:val="20"/>
        </w:rPr>
        <w:t xml:space="preserve">the </w:t>
      </w:r>
      <w:r w:rsidR="009A5A6C" w:rsidRPr="00CF29F8">
        <w:rPr>
          <w:rFonts w:ascii="Times New Roman" w:hAnsi="Times New Roman"/>
          <w:sz w:val="20"/>
          <w:szCs w:val="20"/>
        </w:rPr>
        <w:t>full economic benefits will not be recovered</w:t>
      </w:r>
      <w:r w:rsidR="00991307" w:rsidRPr="00CF29F8">
        <w:rPr>
          <w:rFonts w:ascii="Times New Roman" w:hAnsi="Times New Roman"/>
          <w:sz w:val="20"/>
          <w:szCs w:val="20"/>
        </w:rPr>
        <w:t xml:space="preserve"> from its operation in Medan which led to the closure in October 2014</w:t>
      </w:r>
      <w:r w:rsidR="0052173A" w:rsidRPr="00CF29F8">
        <w:rPr>
          <w:rFonts w:ascii="Times New Roman" w:hAnsi="Times New Roman"/>
          <w:sz w:val="20"/>
          <w:szCs w:val="20"/>
        </w:rPr>
        <w:t>.</w:t>
      </w:r>
    </w:p>
    <w:p w:rsidR="00422FBE" w:rsidRPr="00F1473A" w:rsidRDefault="00422FBE" w:rsidP="00CB2B13">
      <w:pPr>
        <w:spacing w:after="0"/>
        <w:ind w:left="720"/>
        <w:jc w:val="both"/>
        <w:rPr>
          <w:rFonts w:ascii="Times New Roman" w:hAnsi="Times New Roman"/>
          <w:sz w:val="20"/>
          <w:szCs w:val="20"/>
        </w:rPr>
      </w:pPr>
    </w:p>
    <w:p w:rsidR="00E4413E" w:rsidRPr="009A5A6C" w:rsidRDefault="00CB2B13" w:rsidP="009A5A6C">
      <w:pPr>
        <w:spacing w:after="0"/>
        <w:ind w:left="720"/>
        <w:jc w:val="both"/>
        <w:rPr>
          <w:rFonts w:ascii="Times New Roman" w:hAnsi="Times New Roman"/>
          <w:noProof/>
          <w:sz w:val="20"/>
          <w:szCs w:val="20"/>
        </w:rPr>
      </w:pPr>
      <w:r w:rsidRPr="00410E69">
        <w:rPr>
          <w:rFonts w:ascii="Times New Roman" w:hAnsi="Times New Roman"/>
          <w:noProof/>
          <w:sz w:val="20"/>
          <w:szCs w:val="20"/>
        </w:rPr>
        <w:t>Pharmaceuticals Divi</w:t>
      </w:r>
      <w:r w:rsidR="00410E69" w:rsidRPr="00410E69">
        <w:rPr>
          <w:rFonts w:ascii="Times New Roman" w:hAnsi="Times New Roman"/>
          <w:noProof/>
          <w:sz w:val="20"/>
          <w:szCs w:val="20"/>
        </w:rPr>
        <w:t>sion recorded revenue of RM317.6</w:t>
      </w:r>
      <w:r w:rsidRPr="00410E69">
        <w:rPr>
          <w:rFonts w:ascii="Times New Roman" w:hAnsi="Times New Roman"/>
          <w:noProof/>
          <w:sz w:val="20"/>
          <w:szCs w:val="20"/>
        </w:rPr>
        <w:t xml:space="preserve"> million for the perio</w:t>
      </w:r>
      <w:r w:rsidR="00410E69" w:rsidRPr="00410E69">
        <w:rPr>
          <w:rFonts w:ascii="Times New Roman" w:hAnsi="Times New Roman"/>
          <w:noProof/>
          <w:sz w:val="20"/>
          <w:szCs w:val="20"/>
        </w:rPr>
        <w:t>d under review, an increase of 7.3</w:t>
      </w:r>
      <w:r w:rsidRPr="00410E69">
        <w:rPr>
          <w:rFonts w:ascii="Times New Roman" w:hAnsi="Times New Roman"/>
          <w:noProof/>
          <w:sz w:val="20"/>
          <w:szCs w:val="20"/>
        </w:rPr>
        <w:t xml:space="preserve">% as compared to </w:t>
      </w:r>
      <w:r w:rsidR="00E27304" w:rsidRPr="00410E69">
        <w:rPr>
          <w:rFonts w:ascii="Times New Roman" w:hAnsi="Times New Roman"/>
          <w:noProof/>
          <w:sz w:val="20"/>
          <w:szCs w:val="20"/>
        </w:rPr>
        <w:t>the same period last year. P</w:t>
      </w:r>
      <w:r w:rsidRPr="00410E69">
        <w:rPr>
          <w:rFonts w:ascii="Times New Roman" w:hAnsi="Times New Roman"/>
          <w:noProof/>
          <w:sz w:val="20"/>
          <w:szCs w:val="20"/>
        </w:rPr>
        <w:t>rof</w:t>
      </w:r>
      <w:r w:rsidR="00410E69" w:rsidRPr="00410E69">
        <w:rPr>
          <w:rFonts w:ascii="Times New Roman" w:hAnsi="Times New Roman"/>
          <w:noProof/>
          <w:sz w:val="20"/>
          <w:szCs w:val="20"/>
        </w:rPr>
        <w:t>it before tax i</w:t>
      </w:r>
      <w:r w:rsidR="002415CF">
        <w:rPr>
          <w:rFonts w:ascii="Times New Roman" w:hAnsi="Times New Roman"/>
          <w:noProof/>
          <w:sz w:val="20"/>
          <w:szCs w:val="20"/>
        </w:rPr>
        <w:t>ncreased by RM3.8</w:t>
      </w:r>
      <w:r w:rsidRPr="00410E69">
        <w:rPr>
          <w:rFonts w:ascii="Times New Roman" w:hAnsi="Times New Roman"/>
          <w:noProof/>
          <w:sz w:val="20"/>
          <w:szCs w:val="20"/>
        </w:rPr>
        <w:t xml:space="preserve"> million</w:t>
      </w:r>
      <w:r w:rsidR="002415CF">
        <w:rPr>
          <w:rFonts w:ascii="Times New Roman" w:hAnsi="Times New Roman"/>
          <w:noProof/>
          <w:sz w:val="20"/>
          <w:szCs w:val="20"/>
        </w:rPr>
        <w:t xml:space="preserve"> (or 12.3</w:t>
      </w:r>
      <w:r w:rsidR="00C55E37" w:rsidRPr="00410E69">
        <w:rPr>
          <w:rFonts w:ascii="Times New Roman" w:hAnsi="Times New Roman"/>
          <w:noProof/>
          <w:sz w:val="20"/>
          <w:szCs w:val="20"/>
        </w:rPr>
        <w:t xml:space="preserve">%) </w:t>
      </w:r>
      <w:r w:rsidR="002415CF">
        <w:rPr>
          <w:rFonts w:ascii="Times New Roman" w:hAnsi="Times New Roman"/>
          <w:noProof/>
          <w:sz w:val="20"/>
          <w:szCs w:val="20"/>
        </w:rPr>
        <w:t xml:space="preserve"> from RM30.8</w:t>
      </w:r>
      <w:r w:rsidRPr="00410E69">
        <w:rPr>
          <w:rFonts w:ascii="Times New Roman" w:hAnsi="Times New Roman"/>
          <w:noProof/>
          <w:sz w:val="20"/>
          <w:szCs w:val="20"/>
        </w:rPr>
        <w:t xml:space="preserve"> million in </w:t>
      </w:r>
      <w:r w:rsidR="0061597A" w:rsidRPr="00410E69">
        <w:rPr>
          <w:rFonts w:ascii="Times New Roman" w:hAnsi="Times New Roman"/>
          <w:noProof/>
          <w:sz w:val="20"/>
          <w:szCs w:val="20"/>
        </w:rPr>
        <w:t xml:space="preserve">the same period </w:t>
      </w:r>
      <w:r w:rsidRPr="00410E69">
        <w:rPr>
          <w:rFonts w:ascii="Times New Roman" w:hAnsi="Times New Roman"/>
          <w:noProof/>
          <w:sz w:val="20"/>
          <w:szCs w:val="20"/>
        </w:rPr>
        <w:t>201</w:t>
      </w:r>
      <w:r w:rsidR="008773E8">
        <w:rPr>
          <w:rFonts w:ascii="Times New Roman" w:hAnsi="Times New Roman"/>
          <w:noProof/>
          <w:sz w:val="20"/>
          <w:szCs w:val="20"/>
        </w:rPr>
        <w:t>3 to RM34.6</w:t>
      </w:r>
      <w:r w:rsidRPr="00410E69">
        <w:rPr>
          <w:rFonts w:ascii="Times New Roman" w:hAnsi="Times New Roman"/>
          <w:noProof/>
          <w:sz w:val="20"/>
          <w:szCs w:val="20"/>
        </w:rPr>
        <w:t xml:space="preserve"> million in the current period. The higher profit recorded in the current period was primarily attributable to higher revenue generated</w:t>
      </w:r>
      <w:r w:rsidR="00A955C7">
        <w:rPr>
          <w:rFonts w:ascii="Times New Roman" w:hAnsi="Times New Roman"/>
          <w:noProof/>
          <w:sz w:val="20"/>
          <w:szCs w:val="20"/>
        </w:rPr>
        <w:t xml:space="preserve"> from its ethical segment</w:t>
      </w:r>
      <w:r w:rsidR="0061597A" w:rsidRPr="00410E69">
        <w:rPr>
          <w:rFonts w:ascii="Times New Roman" w:hAnsi="Times New Roman"/>
          <w:noProof/>
          <w:sz w:val="20"/>
          <w:szCs w:val="20"/>
        </w:rPr>
        <w:t>;</w:t>
      </w:r>
      <w:r w:rsidRPr="00410E69">
        <w:rPr>
          <w:rFonts w:ascii="Times New Roman" w:hAnsi="Times New Roman"/>
          <w:noProof/>
          <w:sz w:val="20"/>
          <w:szCs w:val="20"/>
        </w:rPr>
        <w:t xml:space="preserve"> as well as higher plant utilisation rate during the period under review.</w:t>
      </w:r>
    </w:p>
    <w:p w:rsidR="00C55E37" w:rsidRPr="00F1473A" w:rsidRDefault="00C55E37" w:rsidP="00E4413E">
      <w:pPr>
        <w:tabs>
          <w:tab w:val="left" w:pos="720"/>
        </w:tabs>
        <w:spacing w:after="0"/>
        <w:rPr>
          <w:rFonts w:ascii="Times New Roman" w:hAnsi="Times New Roman"/>
          <w:b/>
          <w:bCs/>
          <w:sz w:val="20"/>
          <w:szCs w:val="20"/>
        </w:rPr>
      </w:pPr>
    </w:p>
    <w:p w:rsidR="00C55E37" w:rsidRPr="007521A8" w:rsidRDefault="00C55E37" w:rsidP="00C55E37">
      <w:pPr>
        <w:spacing w:after="0"/>
        <w:ind w:left="720"/>
        <w:jc w:val="both"/>
        <w:rPr>
          <w:rFonts w:ascii="Times New Roman" w:hAnsi="Times New Roman"/>
          <w:noProof/>
          <w:sz w:val="20"/>
          <w:szCs w:val="20"/>
        </w:rPr>
      </w:pPr>
      <w:r w:rsidRPr="008E70F5">
        <w:rPr>
          <w:rFonts w:ascii="Times New Roman" w:hAnsi="Times New Roman"/>
          <w:noProof/>
          <w:sz w:val="20"/>
          <w:szCs w:val="20"/>
        </w:rPr>
        <w:t>Chemicals Divi</w:t>
      </w:r>
      <w:r w:rsidR="008E70F5" w:rsidRPr="008E70F5">
        <w:rPr>
          <w:rFonts w:ascii="Times New Roman" w:hAnsi="Times New Roman"/>
          <w:noProof/>
          <w:sz w:val="20"/>
          <w:szCs w:val="20"/>
        </w:rPr>
        <w:t>sion recorded revenue of RM282.0</w:t>
      </w:r>
      <w:r w:rsidRPr="008E70F5">
        <w:rPr>
          <w:rFonts w:ascii="Times New Roman" w:hAnsi="Times New Roman"/>
          <w:noProof/>
          <w:sz w:val="20"/>
          <w:szCs w:val="20"/>
        </w:rPr>
        <w:t xml:space="preserve"> million during the period under review</w:t>
      </w:r>
      <w:r w:rsidR="008E70F5" w:rsidRPr="008E70F5">
        <w:rPr>
          <w:rFonts w:ascii="Times New Roman" w:hAnsi="Times New Roman"/>
          <w:noProof/>
          <w:sz w:val="20"/>
          <w:szCs w:val="20"/>
        </w:rPr>
        <w:t>, representing a decrease of 5.9</w:t>
      </w:r>
      <w:r w:rsidRPr="008E70F5">
        <w:rPr>
          <w:rFonts w:ascii="Times New Roman" w:hAnsi="Times New Roman"/>
          <w:noProof/>
          <w:sz w:val="20"/>
          <w:szCs w:val="20"/>
        </w:rPr>
        <w:t>% as compared to the corresponding period last year. The lower revenue recorded during the period was primarily due to lower sales volume of its trading</w:t>
      </w:r>
      <w:r w:rsidR="00F62BCE" w:rsidRPr="008E70F5">
        <w:rPr>
          <w:rFonts w:ascii="Times New Roman" w:hAnsi="Times New Roman"/>
          <w:noProof/>
          <w:sz w:val="20"/>
          <w:szCs w:val="20"/>
        </w:rPr>
        <w:t xml:space="preserve"> and regional</w:t>
      </w:r>
      <w:r w:rsidRPr="008E70F5">
        <w:rPr>
          <w:rFonts w:ascii="Times New Roman" w:hAnsi="Times New Roman"/>
          <w:noProof/>
          <w:sz w:val="20"/>
          <w:szCs w:val="20"/>
        </w:rPr>
        <w:t xml:space="preserve"> business</w:t>
      </w:r>
      <w:r w:rsidR="00F62BCE" w:rsidRPr="008E70F5">
        <w:rPr>
          <w:rFonts w:ascii="Times New Roman" w:hAnsi="Times New Roman"/>
          <w:noProof/>
          <w:sz w:val="20"/>
          <w:szCs w:val="20"/>
        </w:rPr>
        <w:t>es</w:t>
      </w:r>
      <w:r w:rsidRPr="008E70F5">
        <w:rPr>
          <w:rFonts w:ascii="Times New Roman" w:hAnsi="Times New Roman"/>
          <w:noProof/>
          <w:sz w:val="20"/>
          <w:szCs w:val="20"/>
        </w:rPr>
        <w:t>. The Divis</w:t>
      </w:r>
      <w:r w:rsidR="00C20B7D" w:rsidRPr="008E70F5">
        <w:rPr>
          <w:rFonts w:ascii="Times New Roman" w:hAnsi="Times New Roman"/>
          <w:noProof/>
          <w:sz w:val="20"/>
          <w:szCs w:val="20"/>
        </w:rPr>
        <w:t>i</w:t>
      </w:r>
      <w:r w:rsidR="006C3B03">
        <w:rPr>
          <w:rFonts w:ascii="Times New Roman" w:hAnsi="Times New Roman"/>
          <w:noProof/>
          <w:sz w:val="20"/>
          <w:szCs w:val="20"/>
        </w:rPr>
        <w:t>on’s profit before tax of RM15.3</w:t>
      </w:r>
      <w:r w:rsidRPr="008E70F5">
        <w:rPr>
          <w:rFonts w:ascii="Times New Roman" w:hAnsi="Times New Roman"/>
          <w:noProof/>
          <w:sz w:val="20"/>
          <w:szCs w:val="20"/>
        </w:rPr>
        <w:t xml:space="preserve"> million for the perio</w:t>
      </w:r>
      <w:r w:rsidR="002415CF">
        <w:rPr>
          <w:rFonts w:ascii="Times New Roman" w:hAnsi="Times New Roman"/>
          <w:noProof/>
          <w:sz w:val="20"/>
          <w:szCs w:val="20"/>
        </w:rPr>
        <w:t>d under review was lower by 7.9</w:t>
      </w:r>
      <w:r w:rsidRPr="008E70F5">
        <w:rPr>
          <w:rFonts w:ascii="Times New Roman" w:hAnsi="Times New Roman"/>
          <w:noProof/>
          <w:sz w:val="20"/>
          <w:szCs w:val="20"/>
        </w:rPr>
        <w:t xml:space="preserve">% compared to the </w:t>
      </w:r>
      <w:r w:rsidRPr="007521A8">
        <w:rPr>
          <w:rFonts w:ascii="Times New Roman" w:hAnsi="Times New Roman"/>
          <w:noProof/>
          <w:sz w:val="20"/>
          <w:szCs w:val="20"/>
        </w:rPr>
        <w:t>same period last year. The decrease in profit was largely attribut</w:t>
      </w:r>
      <w:r w:rsidR="00C07169" w:rsidRPr="007521A8">
        <w:rPr>
          <w:rFonts w:ascii="Times New Roman" w:hAnsi="Times New Roman"/>
          <w:noProof/>
          <w:sz w:val="20"/>
          <w:szCs w:val="20"/>
        </w:rPr>
        <w:t>able to the lower sales recorded in its trading and regional business</w:t>
      </w:r>
      <w:r w:rsidR="00E01D34" w:rsidRPr="007521A8">
        <w:rPr>
          <w:rFonts w:ascii="Times New Roman" w:hAnsi="Times New Roman"/>
          <w:noProof/>
          <w:sz w:val="20"/>
          <w:szCs w:val="20"/>
        </w:rPr>
        <w:t>es.</w:t>
      </w:r>
    </w:p>
    <w:p w:rsidR="00E4413E" w:rsidRPr="007521A8" w:rsidRDefault="00E4413E" w:rsidP="00CB2B13">
      <w:pPr>
        <w:spacing w:after="0"/>
        <w:ind w:left="720"/>
        <w:jc w:val="both"/>
        <w:rPr>
          <w:rFonts w:ascii="Times New Roman" w:hAnsi="Times New Roman"/>
          <w:noProof/>
          <w:sz w:val="20"/>
          <w:szCs w:val="20"/>
        </w:rPr>
      </w:pPr>
    </w:p>
    <w:p w:rsidR="00CB2B13" w:rsidRPr="008E70F5" w:rsidRDefault="00E4413E" w:rsidP="00087CA9">
      <w:pPr>
        <w:spacing w:after="0"/>
        <w:ind w:left="720"/>
        <w:jc w:val="both"/>
        <w:rPr>
          <w:rFonts w:ascii="Times New Roman" w:hAnsi="Times New Roman"/>
          <w:sz w:val="20"/>
          <w:szCs w:val="20"/>
        </w:rPr>
      </w:pPr>
      <w:r w:rsidRPr="007521A8">
        <w:rPr>
          <w:rFonts w:ascii="Times New Roman" w:hAnsi="Times New Roman"/>
          <w:noProof/>
          <w:sz w:val="20"/>
          <w:szCs w:val="20"/>
        </w:rPr>
        <w:t>The Fertilizers Division recorded revenue of RM</w:t>
      </w:r>
      <w:r w:rsidR="008E70F5" w:rsidRPr="007521A8">
        <w:rPr>
          <w:rFonts w:ascii="Times New Roman" w:hAnsi="Times New Roman"/>
          <w:noProof/>
          <w:sz w:val="20"/>
          <w:szCs w:val="20"/>
        </w:rPr>
        <w:t>488.6</w:t>
      </w:r>
      <w:r w:rsidRPr="007521A8">
        <w:rPr>
          <w:rFonts w:ascii="Times New Roman" w:hAnsi="Times New Roman"/>
          <w:noProof/>
          <w:sz w:val="20"/>
          <w:szCs w:val="20"/>
        </w:rPr>
        <w:t xml:space="preserve"> million during the period under review. This was </w:t>
      </w:r>
      <w:r w:rsidR="008E70F5" w:rsidRPr="007521A8">
        <w:rPr>
          <w:rFonts w:ascii="Times New Roman" w:hAnsi="Times New Roman"/>
          <w:noProof/>
          <w:sz w:val="20"/>
          <w:szCs w:val="20"/>
        </w:rPr>
        <w:t>29.5</w:t>
      </w:r>
      <w:r w:rsidRPr="007521A8">
        <w:rPr>
          <w:rFonts w:ascii="Times New Roman" w:hAnsi="Times New Roman"/>
          <w:noProof/>
          <w:sz w:val="20"/>
          <w:szCs w:val="20"/>
        </w:rPr>
        <w:t>% lower compared to the same period last year, contributed by the lower volume</w:t>
      </w:r>
      <w:r w:rsidR="00637573">
        <w:rPr>
          <w:rFonts w:ascii="Times New Roman" w:hAnsi="Times New Roman"/>
          <w:noProof/>
          <w:sz w:val="20"/>
          <w:szCs w:val="20"/>
        </w:rPr>
        <w:t xml:space="preserve"> sold on both its compound fertilisers and straights/mixtures.</w:t>
      </w:r>
      <w:r w:rsidRPr="007521A8">
        <w:rPr>
          <w:rFonts w:ascii="Times New Roman" w:hAnsi="Times New Roman"/>
          <w:noProof/>
          <w:sz w:val="20"/>
          <w:szCs w:val="20"/>
        </w:rPr>
        <w:t xml:space="preserve"> The </w:t>
      </w:r>
      <w:r w:rsidR="00E01D34" w:rsidRPr="007521A8">
        <w:rPr>
          <w:rFonts w:ascii="Times New Roman" w:hAnsi="Times New Roman"/>
          <w:noProof/>
          <w:sz w:val="20"/>
          <w:szCs w:val="20"/>
        </w:rPr>
        <w:t>Division</w:t>
      </w:r>
      <w:r w:rsidR="00E01D34" w:rsidRPr="008E70F5">
        <w:rPr>
          <w:rFonts w:ascii="Times New Roman" w:hAnsi="Times New Roman"/>
          <w:noProof/>
          <w:sz w:val="20"/>
          <w:szCs w:val="20"/>
        </w:rPr>
        <w:t xml:space="preserve"> recorde</w:t>
      </w:r>
      <w:r w:rsidR="002415CF">
        <w:rPr>
          <w:rFonts w:ascii="Times New Roman" w:hAnsi="Times New Roman"/>
          <w:noProof/>
          <w:sz w:val="20"/>
          <w:szCs w:val="20"/>
        </w:rPr>
        <w:t>d a loss before tax of RM59.8</w:t>
      </w:r>
      <w:r w:rsidR="00D3429D" w:rsidRPr="008E70F5">
        <w:rPr>
          <w:rFonts w:ascii="Times New Roman" w:hAnsi="Times New Roman"/>
          <w:noProof/>
          <w:sz w:val="20"/>
          <w:szCs w:val="20"/>
        </w:rPr>
        <w:t xml:space="preserve"> million </w:t>
      </w:r>
      <w:r w:rsidR="00E01D34" w:rsidRPr="008E70F5">
        <w:rPr>
          <w:rFonts w:ascii="Times New Roman" w:hAnsi="Times New Roman"/>
          <w:noProof/>
          <w:sz w:val="20"/>
          <w:szCs w:val="20"/>
        </w:rPr>
        <w:t xml:space="preserve">in the period under review </w:t>
      </w:r>
      <w:r w:rsidR="00410264" w:rsidRPr="008E70F5">
        <w:rPr>
          <w:rFonts w:ascii="Times New Roman" w:hAnsi="Times New Roman"/>
          <w:noProof/>
          <w:sz w:val="20"/>
          <w:szCs w:val="20"/>
        </w:rPr>
        <w:t xml:space="preserve">compared to </w:t>
      </w:r>
      <w:r w:rsidR="00C20B7D" w:rsidRPr="008E70F5">
        <w:rPr>
          <w:rFonts w:ascii="Times New Roman" w:hAnsi="Times New Roman"/>
          <w:noProof/>
          <w:sz w:val="20"/>
          <w:szCs w:val="20"/>
        </w:rPr>
        <w:t>a loss</w:t>
      </w:r>
      <w:r w:rsidRPr="008E70F5">
        <w:rPr>
          <w:rFonts w:ascii="Times New Roman" w:hAnsi="Times New Roman"/>
          <w:noProof/>
          <w:sz w:val="20"/>
          <w:szCs w:val="20"/>
        </w:rPr>
        <w:t xml:space="preserve"> of </w:t>
      </w:r>
      <w:r w:rsidR="008E70F5" w:rsidRPr="008E70F5">
        <w:rPr>
          <w:rFonts w:ascii="Times New Roman" w:hAnsi="Times New Roman"/>
          <w:noProof/>
          <w:sz w:val="20"/>
          <w:szCs w:val="20"/>
        </w:rPr>
        <w:t>RM12.9</w:t>
      </w:r>
      <w:r w:rsidRPr="008E70F5">
        <w:rPr>
          <w:rFonts w:ascii="Times New Roman" w:hAnsi="Times New Roman"/>
          <w:noProof/>
          <w:sz w:val="20"/>
          <w:szCs w:val="20"/>
        </w:rPr>
        <w:t xml:space="preserve"> million in the </w:t>
      </w:r>
      <w:r w:rsidR="0073670A" w:rsidRPr="008E70F5">
        <w:rPr>
          <w:rFonts w:ascii="Times New Roman" w:hAnsi="Times New Roman"/>
          <w:noProof/>
          <w:sz w:val="20"/>
          <w:szCs w:val="20"/>
        </w:rPr>
        <w:t>corresponding</w:t>
      </w:r>
      <w:r w:rsidRPr="008E70F5">
        <w:rPr>
          <w:rFonts w:ascii="Times New Roman" w:hAnsi="Times New Roman"/>
          <w:noProof/>
          <w:sz w:val="20"/>
          <w:szCs w:val="20"/>
        </w:rPr>
        <w:t xml:space="preserve"> period</w:t>
      </w:r>
      <w:r w:rsidR="0073670A" w:rsidRPr="008E70F5">
        <w:rPr>
          <w:rFonts w:ascii="Times New Roman" w:hAnsi="Times New Roman"/>
          <w:noProof/>
          <w:sz w:val="20"/>
          <w:szCs w:val="20"/>
        </w:rPr>
        <w:t xml:space="preserve"> last year</w:t>
      </w:r>
      <w:r w:rsidRPr="008E70F5">
        <w:rPr>
          <w:rFonts w:ascii="Times New Roman" w:hAnsi="Times New Roman"/>
          <w:noProof/>
          <w:sz w:val="20"/>
          <w:szCs w:val="20"/>
        </w:rPr>
        <w:t>.</w:t>
      </w:r>
      <w:r w:rsidR="00637573">
        <w:rPr>
          <w:rFonts w:ascii="Times New Roman" w:hAnsi="Times New Roman"/>
          <w:noProof/>
          <w:sz w:val="20"/>
          <w:szCs w:val="20"/>
        </w:rPr>
        <w:t xml:space="preserve"> The loss recorded during the period under review included an impairment loss of RM36.8</w:t>
      </w:r>
      <w:r w:rsidR="00B65558">
        <w:rPr>
          <w:rFonts w:ascii="Times New Roman" w:hAnsi="Times New Roman"/>
          <w:noProof/>
          <w:sz w:val="20"/>
          <w:szCs w:val="20"/>
        </w:rPr>
        <w:t xml:space="preserve"> </w:t>
      </w:r>
      <w:r w:rsidR="00637573">
        <w:rPr>
          <w:rFonts w:ascii="Times New Roman" w:hAnsi="Times New Roman"/>
          <w:noProof/>
          <w:sz w:val="20"/>
          <w:szCs w:val="20"/>
        </w:rPr>
        <w:t>million made on its Medan plant assets, pursuant to the closure of the said manufacturing plant.</w:t>
      </w:r>
    </w:p>
    <w:p w:rsidR="00A13003" w:rsidRPr="007521A8" w:rsidRDefault="00A13003" w:rsidP="0042275A">
      <w:pPr>
        <w:tabs>
          <w:tab w:val="left" w:pos="720"/>
        </w:tabs>
        <w:spacing w:after="0"/>
        <w:rPr>
          <w:rFonts w:ascii="Times New Roman" w:hAnsi="Times New Roman"/>
          <w:b/>
          <w:bCs/>
          <w:sz w:val="20"/>
          <w:szCs w:val="20"/>
        </w:rPr>
      </w:pPr>
    </w:p>
    <w:p w:rsidR="00E4586B" w:rsidRPr="007521A8" w:rsidRDefault="00E4586B" w:rsidP="002A0DB7">
      <w:pPr>
        <w:tabs>
          <w:tab w:val="left" w:pos="720"/>
        </w:tabs>
        <w:spacing w:after="0"/>
        <w:ind w:left="720" w:hanging="720"/>
        <w:rPr>
          <w:rFonts w:ascii="Times New Roman" w:hAnsi="Times New Roman"/>
          <w:b/>
          <w:bCs/>
          <w:sz w:val="20"/>
          <w:szCs w:val="20"/>
        </w:rPr>
      </w:pPr>
      <w:r w:rsidRPr="007521A8">
        <w:rPr>
          <w:rFonts w:ascii="Times New Roman" w:hAnsi="Times New Roman"/>
          <w:b/>
          <w:bCs/>
          <w:sz w:val="20"/>
          <w:szCs w:val="20"/>
        </w:rPr>
        <w:t>B2)</w:t>
      </w:r>
      <w:r w:rsidRPr="007521A8">
        <w:rPr>
          <w:rFonts w:ascii="Times New Roman" w:hAnsi="Times New Roman"/>
          <w:b/>
          <w:bCs/>
          <w:sz w:val="20"/>
          <w:szCs w:val="20"/>
        </w:rPr>
        <w:tab/>
        <w:t>Material changes in the Quarterly Results compared to the results of the Preceding Quarter</w:t>
      </w:r>
    </w:p>
    <w:p w:rsidR="00E11F34" w:rsidRPr="007521A8" w:rsidRDefault="00E11F34" w:rsidP="00644002">
      <w:pPr>
        <w:spacing w:after="0"/>
        <w:ind w:left="540"/>
        <w:rPr>
          <w:rFonts w:ascii="Times New Roman" w:hAnsi="Times New Roman"/>
          <w:sz w:val="20"/>
          <w:szCs w:val="20"/>
        </w:rPr>
      </w:pPr>
    </w:p>
    <w:p w:rsidR="005F23E4" w:rsidRDefault="009970D9" w:rsidP="00F3418D">
      <w:pPr>
        <w:spacing w:after="0"/>
        <w:ind w:left="720"/>
        <w:jc w:val="both"/>
        <w:rPr>
          <w:rFonts w:ascii="Times New Roman" w:hAnsi="Times New Roman"/>
          <w:sz w:val="20"/>
          <w:szCs w:val="20"/>
        </w:rPr>
      </w:pPr>
      <w:r w:rsidRPr="007521A8">
        <w:rPr>
          <w:rFonts w:ascii="Times New Roman" w:hAnsi="Times New Roman"/>
          <w:sz w:val="20"/>
          <w:szCs w:val="20"/>
        </w:rPr>
        <w:t xml:space="preserve">The </w:t>
      </w:r>
      <w:r w:rsidR="00EB2B88" w:rsidRPr="007521A8">
        <w:rPr>
          <w:rFonts w:ascii="Times New Roman" w:hAnsi="Times New Roman"/>
          <w:sz w:val="20"/>
          <w:szCs w:val="20"/>
        </w:rPr>
        <w:t>G</w:t>
      </w:r>
      <w:r w:rsidR="001444B2" w:rsidRPr="007521A8">
        <w:rPr>
          <w:rFonts w:ascii="Times New Roman" w:hAnsi="Times New Roman"/>
          <w:sz w:val="20"/>
          <w:szCs w:val="20"/>
        </w:rPr>
        <w:t>roup</w:t>
      </w:r>
      <w:r w:rsidRPr="007521A8">
        <w:rPr>
          <w:rFonts w:ascii="Times New Roman" w:hAnsi="Times New Roman"/>
          <w:sz w:val="20"/>
          <w:szCs w:val="20"/>
        </w:rPr>
        <w:t>’s</w:t>
      </w:r>
      <w:r w:rsidR="003A70C6">
        <w:rPr>
          <w:rFonts w:ascii="Times New Roman" w:hAnsi="Times New Roman"/>
          <w:sz w:val="20"/>
          <w:szCs w:val="20"/>
        </w:rPr>
        <w:t xml:space="preserve">  </w:t>
      </w:r>
      <w:r w:rsidRPr="007521A8">
        <w:rPr>
          <w:rFonts w:ascii="Times New Roman" w:hAnsi="Times New Roman"/>
          <w:sz w:val="20"/>
          <w:szCs w:val="20"/>
        </w:rPr>
        <w:t>revenue for</w:t>
      </w:r>
      <w:r w:rsidR="00313F29" w:rsidRPr="007521A8">
        <w:rPr>
          <w:rFonts w:ascii="Times New Roman" w:hAnsi="Times New Roman"/>
          <w:sz w:val="20"/>
          <w:szCs w:val="20"/>
        </w:rPr>
        <w:t xml:space="preserve"> the current quarter of</w:t>
      </w:r>
      <w:r w:rsidR="003A70C6">
        <w:rPr>
          <w:rFonts w:ascii="Times New Roman" w:hAnsi="Times New Roman"/>
          <w:sz w:val="20"/>
          <w:szCs w:val="20"/>
        </w:rPr>
        <w:t xml:space="preserve">  </w:t>
      </w:r>
      <w:r w:rsidR="008E70F5" w:rsidRPr="007521A8">
        <w:rPr>
          <w:rFonts w:ascii="Times New Roman" w:hAnsi="Times New Roman"/>
          <w:sz w:val="20"/>
          <w:szCs w:val="20"/>
        </w:rPr>
        <w:t>RM240.</w:t>
      </w:r>
      <w:r w:rsidR="00B65558">
        <w:rPr>
          <w:rFonts w:ascii="Times New Roman" w:hAnsi="Times New Roman"/>
          <w:sz w:val="20"/>
          <w:szCs w:val="20"/>
        </w:rPr>
        <w:t>0</w:t>
      </w:r>
      <w:r w:rsidR="009A6A79" w:rsidRPr="007521A8">
        <w:rPr>
          <w:rFonts w:ascii="Times New Roman" w:hAnsi="Times New Roman"/>
          <w:sz w:val="20"/>
          <w:szCs w:val="20"/>
        </w:rPr>
        <w:t xml:space="preserve"> m</w:t>
      </w:r>
      <w:r w:rsidR="00573B4C" w:rsidRPr="007521A8">
        <w:rPr>
          <w:rFonts w:ascii="Times New Roman" w:hAnsi="Times New Roman"/>
          <w:sz w:val="20"/>
          <w:szCs w:val="20"/>
        </w:rPr>
        <w:t xml:space="preserve">illion was </w:t>
      </w:r>
      <w:r w:rsidR="008A2DCE" w:rsidRPr="007521A8">
        <w:rPr>
          <w:rFonts w:ascii="Times New Roman" w:hAnsi="Times New Roman"/>
          <w:sz w:val="20"/>
          <w:szCs w:val="20"/>
        </w:rPr>
        <w:t>lower</w:t>
      </w:r>
      <w:r w:rsidR="001444B2" w:rsidRPr="007521A8">
        <w:rPr>
          <w:rFonts w:ascii="Times New Roman" w:hAnsi="Times New Roman"/>
          <w:sz w:val="20"/>
          <w:szCs w:val="20"/>
        </w:rPr>
        <w:t xml:space="preserve"> by RM</w:t>
      </w:r>
      <w:r w:rsidR="00B65558">
        <w:rPr>
          <w:rFonts w:ascii="Times New Roman" w:hAnsi="Times New Roman"/>
          <w:sz w:val="20"/>
          <w:szCs w:val="20"/>
        </w:rPr>
        <w:t>23.7</w:t>
      </w:r>
      <w:r w:rsidRPr="007521A8">
        <w:rPr>
          <w:rFonts w:ascii="Times New Roman" w:hAnsi="Times New Roman"/>
          <w:sz w:val="20"/>
          <w:szCs w:val="20"/>
        </w:rPr>
        <w:t xml:space="preserve"> million (or</w:t>
      </w:r>
      <w:r w:rsidR="00B65558">
        <w:rPr>
          <w:rFonts w:ascii="Times New Roman" w:hAnsi="Times New Roman"/>
          <w:sz w:val="20"/>
          <w:szCs w:val="20"/>
        </w:rPr>
        <w:t xml:space="preserve"> 9.0</w:t>
      </w:r>
      <w:r w:rsidR="001444B2" w:rsidRPr="007521A8">
        <w:rPr>
          <w:rFonts w:ascii="Times New Roman" w:hAnsi="Times New Roman"/>
          <w:sz w:val="20"/>
          <w:szCs w:val="20"/>
        </w:rPr>
        <w:t>%</w:t>
      </w:r>
      <w:r w:rsidRPr="007521A8">
        <w:rPr>
          <w:rFonts w:ascii="Times New Roman" w:hAnsi="Times New Roman"/>
          <w:sz w:val="20"/>
          <w:szCs w:val="20"/>
        </w:rPr>
        <w:t>)</w:t>
      </w:r>
      <w:r w:rsidR="001444B2" w:rsidRPr="007521A8">
        <w:rPr>
          <w:rFonts w:ascii="Times New Roman" w:hAnsi="Times New Roman"/>
          <w:sz w:val="20"/>
          <w:szCs w:val="20"/>
        </w:rPr>
        <w:t xml:space="preserve"> as compared to t</w:t>
      </w:r>
      <w:r w:rsidR="00A84F18" w:rsidRPr="007521A8">
        <w:rPr>
          <w:rFonts w:ascii="Times New Roman" w:hAnsi="Times New Roman"/>
          <w:sz w:val="20"/>
          <w:szCs w:val="20"/>
        </w:rPr>
        <w:t>he immediate preceding quarter r</w:t>
      </w:r>
      <w:r w:rsidR="008E70F5" w:rsidRPr="007521A8">
        <w:rPr>
          <w:rFonts w:ascii="Times New Roman" w:hAnsi="Times New Roman"/>
          <w:sz w:val="20"/>
          <w:szCs w:val="20"/>
        </w:rPr>
        <w:t>evenue of RM263.7</w:t>
      </w:r>
      <w:r w:rsidR="00146BFB" w:rsidRPr="007521A8">
        <w:rPr>
          <w:rFonts w:ascii="Times New Roman" w:hAnsi="Times New Roman"/>
          <w:sz w:val="20"/>
          <w:szCs w:val="20"/>
        </w:rPr>
        <w:t>million</w:t>
      </w:r>
      <w:r w:rsidR="00A84F18" w:rsidRPr="007521A8">
        <w:rPr>
          <w:rFonts w:ascii="Times New Roman" w:hAnsi="Times New Roman"/>
          <w:sz w:val="20"/>
          <w:szCs w:val="20"/>
        </w:rPr>
        <w:t xml:space="preserve">. This </w:t>
      </w:r>
      <w:r w:rsidR="00356E2E" w:rsidRPr="007521A8">
        <w:rPr>
          <w:rFonts w:ascii="Times New Roman" w:hAnsi="Times New Roman"/>
          <w:sz w:val="20"/>
          <w:szCs w:val="20"/>
        </w:rPr>
        <w:t>was</w:t>
      </w:r>
      <w:r w:rsidR="001444B2" w:rsidRPr="007521A8">
        <w:rPr>
          <w:rFonts w:ascii="Times New Roman" w:hAnsi="Times New Roman"/>
          <w:sz w:val="20"/>
          <w:szCs w:val="20"/>
        </w:rPr>
        <w:t xml:space="preserve"> primarily attributable to</w:t>
      </w:r>
      <w:r w:rsidR="00466924" w:rsidRPr="007521A8">
        <w:rPr>
          <w:rFonts w:ascii="Times New Roman" w:hAnsi="Times New Roman"/>
          <w:sz w:val="20"/>
          <w:szCs w:val="20"/>
        </w:rPr>
        <w:t xml:space="preserve"> the</w:t>
      </w:r>
      <w:r w:rsidR="00B65558">
        <w:rPr>
          <w:rFonts w:ascii="Times New Roman" w:hAnsi="Times New Roman"/>
          <w:sz w:val="20"/>
          <w:szCs w:val="20"/>
        </w:rPr>
        <w:t xml:space="preserve">  </w:t>
      </w:r>
      <w:r w:rsidR="008A2DCE" w:rsidRPr="007521A8">
        <w:rPr>
          <w:rFonts w:ascii="Times New Roman" w:hAnsi="Times New Roman"/>
          <w:sz w:val="20"/>
          <w:szCs w:val="20"/>
        </w:rPr>
        <w:t>de</w:t>
      </w:r>
      <w:r w:rsidR="002A12A9" w:rsidRPr="007521A8">
        <w:rPr>
          <w:rFonts w:ascii="Times New Roman" w:hAnsi="Times New Roman"/>
          <w:sz w:val="20"/>
          <w:szCs w:val="20"/>
        </w:rPr>
        <w:t xml:space="preserve">crease in </w:t>
      </w:r>
      <w:r w:rsidR="001444B2" w:rsidRPr="007521A8">
        <w:rPr>
          <w:rFonts w:ascii="Times New Roman" w:hAnsi="Times New Roman"/>
          <w:sz w:val="20"/>
          <w:szCs w:val="20"/>
        </w:rPr>
        <w:t>revenue contribut</w:t>
      </w:r>
      <w:r w:rsidR="00573B4C" w:rsidRPr="007521A8">
        <w:rPr>
          <w:rFonts w:ascii="Times New Roman" w:hAnsi="Times New Roman"/>
          <w:sz w:val="20"/>
          <w:szCs w:val="20"/>
        </w:rPr>
        <w:t>ion</w:t>
      </w:r>
      <w:r w:rsidR="001444B2" w:rsidRPr="007521A8">
        <w:rPr>
          <w:rFonts w:ascii="Times New Roman" w:hAnsi="Times New Roman"/>
          <w:sz w:val="20"/>
          <w:szCs w:val="20"/>
        </w:rPr>
        <w:t xml:space="preserve"> from </w:t>
      </w:r>
      <w:r w:rsidR="008A2DCE" w:rsidRPr="007521A8">
        <w:rPr>
          <w:rFonts w:ascii="Times New Roman" w:hAnsi="Times New Roman"/>
          <w:sz w:val="20"/>
          <w:szCs w:val="20"/>
        </w:rPr>
        <w:t>Fert</w:t>
      </w:r>
      <w:r w:rsidR="002B147A" w:rsidRPr="007521A8">
        <w:rPr>
          <w:rFonts w:ascii="Times New Roman" w:hAnsi="Times New Roman"/>
          <w:sz w:val="20"/>
          <w:szCs w:val="20"/>
        </w:rPr>
        <w:t>i</w:t>
      </w:r>
      <w:r w:rsidR="008A2DCE" w:rsidRPr="007521A8">
        <w:rPr>
          <w:rFonts w:ascii="Times New Roman" w:hAnsi="Times New Roman"/>
          <w:sz w:val="20"/>
          <w:szCs w:val="20"/>
        </w:rPr>
        <w:t xml:space="preserve">lizers </w:t>
      </w:r>
      <w:r w:rsidR="00D10835" w:rsidRPr="007521A8">
        <w:rPr>
          <w:rFonts w:ascii="Times New Roman" w:hAnsi="Times New Roman"/>
          <w:sz w:val="20"/>
          <w:szCs w:val="20"/>
        </w:rPr>
        <w:t>D</w:t>
      </w:r>
      <w:r w:rsidR="002B147A" w:rsidRPr="007521A8">
        <w:rPr>
          <w:rFonts w:ascii="Times New Roman" w:hAnsi="Times New Roman"/>
          <w:sz w:val="20"/>
          <w:szCs w:val="20"/>
        </w:rPr>
        <w:t>ivision</w:t>
      </w:r>
      <w:r w:rsidR="00146BFB" w:rsidRPr="007521A8">
        <w:rPr>
          <w:rFonts w:ascii="Times New Roman" w:hAnsi="Times New Roman"/>
          <w:sz w:val="20"/>
          <w:szCs w:val="20"/>
        </w:rPr>
        <w:t xml:space="preserve">. </w:t>
      </w:r>
    </w:p>
    <w:p w:rsidR="005F23E4" w:rsidRDefault="005F23E4" w:rsidP="00F3418D">
      <w:pPr>
        <w:spacing w:after="0"/>
        <w:ind w:left="720"/>
        <w:jc w:val="both"/>
        <w:rPr>
          <w:rFonts w:ascii="Times New Roman" w:hAnsi="Times New Roman"/>
          <w:sz w:val="20"/>
          <w:szCs w:val="20"/>
        </w:rPr>
      </w:pPr>
    </w:p>
    <w:p w:rsidR="00B03EA5" w:rsidRDefault="00876F98" w:rsidP="00F3418D">
      <w:pPr>
        <w:spacing w:after="0"/>
        <w:ind w:left="720"/>
        <w:jc w:val="both"/>
        <w:rPr>
          <w:rFonts w:ascii="Times New Roman" w:hAnsi="Times New Roman"/>
          <w:sz w:val="20"/>
          <w:szCs w:val="20"/>
        </w:rPr>
      </w:pPr>
      <w:r w:rsidRPr="007711F3">
        <w:rPr>
          <w:rFonts w:ascii="Times New Roman" w:hAnsi="Times New Roman"/>
          <w:sz w:val="20"/>
          <w:szCs w:val="20"/>
        </w:rPr>
        <w:t>The impairment loss recognised for its Medan plant assets coupled with lower gross profit margins registered by its Fertilisers Division during the quarter</w:t>
      </w:r>
      <w:r w:rsidR="005F23E4" w:rsidRPr="007711F3">
        <w:rPr>
          <w:rFonts w:ascii="Times New Roman" w:hAnsi="Times New Roman"/>
          <w:sz w:val="20"/>
          <w:szCs w:val="20"/>
        </w:rPr>
        <w:t>,</w:t>
      </w:r>
      <w:r w:rsidR="00CC6897" w:rsidRPr="007711F3">
        <w:rPr>
          <w:rFonts w:ascii="Times New Roman" w:hAnsi="Times New Roman"/>
          <w:sz w:val="20"/>
          <w:szCs w:val="20"/>
        </w:rPr>
        <w:t xml:space="preserve"> has resulted in</w:t>
      </w:r>
      <w:r w:rsidRPr="007711F3">
        <w:rPr>
          <w:rFonts w:ascii="Times New Roman" w:hAnsi="Times New Roman"/>
          <w:sz w:val="20"/>
          <w:szCs w:val="20"/>
        </w:rPr>
        <w:t xml:space="preserve"> </w:t>
      </w:r>
      <w:r w:rsidR="005F23E4" w:rsidRPr="007711F3">
        <w:rPr>
          <w:rFonts w:ascii="Times New Roman" w:hAnsi="Times New Roman"/>
          <w:sz w:val="20"/>
          <w:szCs w:val="20"/>
        </w:rPr>
        <w:t xml:space="preserve">the </w:t>
      </w:r>
      <w:r w:rsidRPr="007711F3">
        <w:rPr>
          <w:rFonts w:ascii="Times New Roman" w:hAnsi="Times New Roman"/>
          <w:sz w:val="20"/>
          <w:szCs w:val="20"/>
        </w:rPr>
        <w:t xml:space="preserve">Group </w:t>
      </w:r>
      <w:r w:rsidR="005F23E4" w:rsidRPr="007711F3">
        <w:rPr>
          <w:rFonts w:ascii="Times New Roman" w:hAnsi="Times New Roman"/>
          <w:sz w:val="20"/>
          <w:szCs w:val="20"/>
        </w:rPr>
        <w:t xml:space="preserve">recording </w:t>
      </w:r>
      <w:r w:rsidRPr="007711F3">
        <w:rPr>
          <w:rFonts w:ascii="Times New Roman" w:hAnsi="Times New Roman"/>
          <w:sz w:val="20"/>
          <w:szCs w:val="20"/>
        </w:rPr>
        <w:t>loss before tax of RM33.9  million as compared to a profit before tax of RM0.5 million in the preceding quarter.</w:t>
      </w:r>
    </w:p>
    <w:p w:rsidR="00B03EA5" w:rsidRDefault="00B03EA5" w:rsidP="00F3418D">
      <w:pPr>
        <w:spacing w:after="0"/>
        <w:ind w:left="720"/>
        <w:jc w:val="both"/>
        <w:rPr>
          <w:rFonts w:ascii="Times New Roman" w:hAnsi="Times New Roman"/>
          <w:sz w:val="20"/>
          <w:szCs w:val="20"/>
        </w:rPr>
      </w:pPr>
    </w:p>
    <w:p w:rsidR="00042A39" w:rsidRDefault="00042A39" w:rsidP="002A0DB7">
      <w:pPr>
        <w:tabs>
          <w:tab w:val="left" w:pos="720"/>
        </w:tabs>
        <w:spacing w:after="0" w:line="240" w:lineRule="auto"/>
        <w:ind w:left="720" w:hanging="720"/>
        <w:rPr>
          <w:rFonts w:ascii="Times New Roman" w:hAnsi="Times New Roman"/>
          <w:b/>
          <w:bCs/>
          <w:sz w:val="20"/>
          <w:szCs w:val="20"/>
        </w:rPr>
      </w:pPr>
    </w:p>
    <w:p w:rsidR="003852FD" w:rsidRDefault="003852FD" w:rsidP="002A0DB7">
      <w:pPr>
        <w:tabs>
          <w:tab w:val="left" w:pos="720"/>
        </w:tabs>
        <w:spacing w:after="0" w:line="240" w:lineRule="auto"/>
        <w:ind w:left="720" w:hanging="720"/>
        <w:rPr>
          <w:rFonts w:ascii="Times New Roman" w:hAnsi="Times New Roman"/>
          <w:b/>
          <w:bCs/>
          <w:sz w:val="20"/>
          <w:szCs w:val="20"/>
        </w:rPr>
      </w:pPr>
    </w:p>
    <w:p w:rsidR="003852FD" w:rsidRPr="00C20B7D" w:rsidRDefault="003852FD" w:rsidP="002A0DB7">
      <w:pPr>
        <w:tabs>
          <w:tab w:val="left" w:pos="720"/>
        </w:tabs>
        <w:spacing w:after="0" w:line="240" w:lineRule="auto"/>
        <w:ind w:left="720" w:hanging="720"/>
        <w:rPr>
          <w:rFonts w:ascii="Times New Roman" w:hAnsi="Times New Roman"/>
          <w:b/>
          <w:bCs/>
          <w:sz w:val="20"/>
          <w:szCs w:val="20"/>
        </w:rPr>
      </w:pPr>
    </w:p>
    <w:p w:rsidR="009115EE" w:rsidRPr="00C20B7D" w:rsidRDefault="009115EE" w:rsidP="002A0DB7">
      <w:pPr>
        <w:tabs>
          <w:tab w:val="left" w:pos="720"/>
        </w:tabs>
        <w:spacing w:after="0" w:line="240" w:lineRule="auto"/>
        <w:ind w:left="720" w:hanging="720"/>
        <w:rPr>
          <w:rFonts w:ascii="Times New Roman" w:hAnsi="Times New Roman"/>
          <w:b/>
          <w:bCs/>
          <w:sz w:val="20"/>
          <w:szCs w:val="20"/>
        </w:rPr>
      </w:pPr>
      <w:r w:rsidRPr="00C20B7D">
        <w:rPr>
          <w:rFonts w:ascii="Times New Roman" w:hAnsi="Times New Roman"/>
          <w:b/>
          <w:bCs/>
          <w:sz w:val="20"/>
          <w:szCs w:val="20"/>
        </w:rPr>
        <w:t>B3)</w:t>
      </w:r>
      <w:r w:rsidRPr="00C20B7D">
        <w:rPr>
          <w:rFonts w:ascii="Times New Roman" w:hAnsi="Times New Roman"/>
          <w:b/>
          <w:bCs/>
          <w:sz w:val="20"/>
          <w:szCs w:val="20"/>
        </w:rPr>
        <w:tab/>
        <w:t xml:space="preserve">Prospects for the </w:t>
      </w:r>
      <w:r w:rsidR="0063504C" w:rsidRPr="00C20B7D">
        <w:rPr>
          <w:rFonts w:ascii="Times New Roman" w:hAnsi="Times New Roman"/>
          <w:b/>
          <w:bCs/>
          <w:sz w:val="20"/>
          <w:szCs w:val="20"/>
        </w:rPr>
        <w:t xml:space="preserve">current </w:t>
      </w:r>
      <w:r w:rsidRPr="00C20B7D">
        <w:rPr>
          <w:rFonts w:ascii="Times New Roman" w:hAnsi="Times New Roman"/>
          <w:b/>
          <w:bCs/>
          <w:sz w:val="20"/>
          <w:szCs w:val="20"/>
        </w:rPr>
        <w:t>financial year</w:t>
      </w:r>
    </w:p>
    <w:p w:rsidR="009115EE" w:rsidRPr="00C20B7D" w:rsidRDefault="009115EE" w:rsidP="00F220B8">
      <w:pPr>
        <w:spacing w:after="0" w:line="240" w:lineRule="auto"/>
        <w:ind w:left="540"/>
        <w:jc w:val="both"/>
        <w:rPr>
          <w:rFonts w:ascii="Times New Roman" w:hAnsi="Times New Roman"/>
          <w:sz w:val="20"/>
          <w:szCs w:val="20"/>
        </w:rPr>
      </w:pPr>
    </w:p>
    <w:p w:rsidR="00F220B8" w:rsidRPr="004718ED" w:rsidRDefault="00F220B8" w:rsidP="00974DF4">
      <w:pPr>
        <w:spacing w:after="0"/>
        <w:ind w:left="720"/>
        <w:jc w:val="both"/>
        <w:rPr>
          <w:rFonts w:ascii="Times New Roman" w:hAnsi="Times New Roman"/>
          <w:sz w:val="20"/>
          <w:szCs w:val="20"/>
        </w:rPr>
      </w:pPr>
      <w:r w:rsidRPr="004718ED">
        <w:rPr>
          <w:rFonts w:ascii="Times New Roman" w:hAnsi="Times New Roman"/>
          <w:sz w:val="20"/>
          <w:szCs w:val="20"/>
        </w:rPr>
        <w:t xml:space="preserve">The Group </w:t>
      </w:r>
      <w:r w:rsidR="00974DF4" w:rsidRPr="004718ED">
        <w:rPr>
          <w:rFonts w:ascii="Times New Roman" w:hAnsi="Times New Roman"/>
          <w:sz w:val="20"/>
          <w:szCs w:val="20"/>
        </w:rPr>
        <w:t>will continue to</w:t>
      </w:r>
      <w:r w:rsidRPr="004718ED">
        <w:rPr>
          <w:rFonts w:ascii="Times New Roman" w:hAnsi="Times New Roman"/>
          <w:sz w:val="20"/>
          <w:szCs w:val="20"/>
        </w:rPr>
        <w:t xml:space="preserve"> focus on en</w:t>
      </w:r>
      <w:r w:rsidR="006671E4" w:rsidRPr="004718ED">
        <w:rPr>
          <w:rFonts w:ascii="Times New Roman" w:hAnsi="Times New Roman"/>
          <w:sz w:val="20"/>
          <w:szCs w:val="20"/>
        </w:rPr>
        <w:t xml:space="preserve">hancing business profitability </w:t>
      </w:r>
      <w:r w:rsidRPr="004718ED">
        <w:rPr>
          <w:rFonts w:ascii="Times New Roman" w:hAnsi="Times New Roman"/>
          <w:sz w:val="20"/>
          <w:szCs w:val="20"/>
        </w:rPr>
        <w:t>by</w:t>
      </w:r>
      <w:r w:rsidR="008C3233" w:rsidRPr="004718ED">
        <w:rPr>
          <w:rFonts w:ascii="Times New Roman" w:hAnsi="Times New Roman"/>
          <w:sz w:val="20"/>
          <w:szCs w:val="20"/>
        </w:rPr>
        <w:t xml:space="preserve"> increasing sales growth domestically and regionally, </w:t>
      </w:r>
      <w:r w:rsidRPr="004718ED">
        <w:rPr>
          <w:rFonts w:ascii="Times New Roman" w:hAnsi="Times New Roman"/>
          <w:sz w:val="20"/>
          <w:szCs w:val="20"/>
        </w:rPr>
        <w:t>improving production efficiency and cost effectiveness acro</w:t>
      </w:r>
      <w:r w:rsidR="0060134D" w:rsidRPr="004718ED">
        <w:rPr>
          <w:rFonts w:ascii="Times New Roman" w:hAnsi="Times New Roman"/>
          <w:sz w:val="20"/>
          <w:szCs w:val="20"/>
        </w:rPr>
        <w:t>ss all of its business division</w:t>
      </w:r>
      <w:r w:rsidR="00983025" w:rsidRPr="004718ED">
        <w:rPr>
          <w:rFonts w:ascii="Times New Roman" w:hAnsi="Times New Roman"/>
          <w:sz w:val="20"/>
          <w:szCs w:val="20"/>
        </w:rPr>
        <w:t>s</w:t>
      </w:r>
      <w:r w:rsidR="008C3233" w:rsidRPr="004718ED">
        <w:rPr>
          <w:rFonts w:ascii="Times New Roman" w:hAnsi="Times New Roman"/>
          <w:sz w:val="20"/>
          <w:szCs w:val="20"/>
        </w:rPr>
        <w:t>.</w:t>
      </w:r>
    </w:p>
    <w:p w:rsidR="00995855" w:rsidRPr="004718ED" w:rsidRDefault="00995855" w:rsidP="002A0DB7">
      <w:pPr>
        <w:spacing w:after="0"/>
        <w:ind w:left="720"/>
        <w:jc w:val="both"/>
        <w:rPr>
          <w:rFonts w:ascii="Times New Roman" w:hAnsi="Times New Roman"/>
          <w:sz w:val="20"/>
          <w:szCs w:val="20"/>
        </w:rPr>
      </w:pPr>
    </w:p>
    <w:p w:rsidR="00C55EA4" w:rsidRPr="004718ED" w:rsidRDefault="009C17DF" w:rsidP="00995855">
      <w:pPr>
        <w:spacing w:after="0"/>
        <w:ind w:left="720"/>
        <w:jc w:val="both"/>
        <w:rPr>
          <w:rFonts w:ascii="Times New Roman" w:hAnsi="Times New Roman"/>
          <w:sz w:val="20"/>
          <w:szCs w:val="20"/>
        </w:rPr>
      </w:pPr>
      <w:r w:rsidRPr="004718ED">
        <w:rPr>
          <w:rFonts w:ascii="Times New Roman" w:hAnsi="Times New Roman"/>
          <w:sz w:val="20"/>
          <w:szCs w:val="20"/>
        </w:rPr>
        <w:t xml:space="preserve">The demand for pharmaceuticals products is expected to remain relatively stable throughout the financial year. The prospects for the </w:t>
      </w:r>
      <w:r w:rsidR="00876F98">
        <w:rPr>
          <w:rFonts w:ascii="Times New Roman" w:hAnsi="Times New Roman"/>
          <w:sz w:val="20"/>
          <w:szCs w:val="20"/>
        </w:rPr>
        <w:t xml:space="preserve">Pharmaceuticals </w:t>
      </w:r>
      <w:r w:rsidRPr="004718ED">
        <w:rPr>
          <w:rFonts w:ascii="Times New Roman" w:hAnsi="Times New Roman"/>
          <w:sz w:val="20"/>
          <w:szCs w:val="20"/>
        </w:rPr>
        <w:t xml:space="preserve">Division </w:t>
      </w:r>
      <w:r w:rsidR="00E87EC7" w:rsidRPr="004718ED">
        <w:rPr>
          <w:rFonts w:ascii="Times New Roman" w:hAnsi="Times New Roman"/>
          <w:sz w:val="20"/>
          <w:szCs w:val="20"/>
        </w:rPr>
        <w:t xml:space="preserve">remain </w:t>
      </w:r>
      <w:r w:rsidRPr="004718ED">
        <w:rPr>
          <w:rFonts w:ascii="Times New Roman" w:hAnsi="Times New Roman"/>
          <w:sz w:val="20"/>
          <w:szCs w:val="20"/>
        </w:rPr>
        <w:t xml:space="preserve">positive </w:t>
      </w:r>
      <w:r w:rsidR="00E87EC7" w:rsidRPr="004718ED">
        <w:rPr>
          <w:rFonts w:ascii="Times New Roman" w:hAnsi="Times New Roman"/>
          <w:sz w:val="20"/>
          <w:szCs w:val="20"/>
        </w:rPr>
        <w:t>as it consolidates its</w:t>
      </w:r>
      <w:r w:rsidRPr="004718ED">
        <w:rPr>
          <w:rFonts w:ascii="Times New Roman" w:hAnsi="Times New Roman"/>
          <w:sz w:val="20"/>
          <w:szCs w:val="20"/>
        </w:rPr>
        <w:t xml:space="preserve"> position in</w:t>
      </w:r>
      <w:r w:rsidR="003E4544">
        <w:rPr>
          <w:rFonts w:ascii="Times New Roman" w:hAnsi="Times New Roman"/>
          <w:sz w:val="20"/>
          <w:szCs w:val="20"/>
        </w:rPr>
        <w:t xml:space="preserve"> the local and regional markets, continuation of focus in Biotherapeutics, niche therapeutic areas and Halal leadership in the pharmaceuticals space.</w:t>
      </w:r>
    </w:p>
    <w:p w:rsidR="000C043D" w:rsidRPr="004718ED" w:rsidRDefault="000C043D" w:rsidP="000C043D">
      <w:pPr>
        <w:spacing w:after="0"/>
        <w:ind w:left="720"/>
        <w:jc w:val="both"/>
        <w:rPr>
          <w:rFonts w:ascii="Times New Roman" w:hAnsi="Times New Roman"/>
          <w:sz w:val="20"/>
          <w:szCs w:val="20"/>
        </w:rPr>
      </w:pPr>
    </w:p>
    <w:p w:rsidR="00307912" w:rsidRPr="004718ED" w:rsidRDefault="00307912" w:rsidP="00307912">
      <w:pPr>
        <w:spacing w:after="0"/>
        <w:ind w:left="720"/>
        <w:jc w:val="both"/>
        <w:rPr>
          <w:rFonts w:ascii="Times New Roman" w:hAnsi="Times New Roman"/>
          <w:sz w:val="20"/>
          <w:szCs w:val="20"/>
        </w:rPr>
      </w:pPr>
      <w:r w:rsidRPr="004718ED">
        <w:rPr>
          <w:rFonts w:ascii="Times New Roman" w:hAnsi="Times New Roman"/>
          <w:sz w:val="20"/>
          <w:szCs w:val="20"/>
        </w:rPr>
        <w:t>Fo</w:t>
      </w:r>
      <w:r w:rsidR="00E8460D">
        <w:rPr>
          <w:rFonts w:ascii="Times New Roman" w:hAnsi="Times New Roman"/>
          <w:sz w:val="20"/>
          <w:szCs w:val="20"/>
        </w:rPr>
        <w:t>r Chemicals Division, the chlor</w:t>
      </w:r>
      <w:r w:rsidR="004A3F0E">
        <w:rPr>
          <w:rFonts w:ascii="Times New Roman" w:hAnsi="Times New Roman"/>
          <w:sz w:val="20"/>
          <w:szCs w:val="20"/>
        </w:rPr>
        <w:t xml:space="preserve">  </w:t>
      </w:r>
      <w:r w:rsidRPr="004718ED">
        <w:rPr>
          <w:rFonts w:ascii="Times New Roman" w:hAnsi="Times New Roman"/>
          <w:sz w:val="20"/>
          <w:szCs w:val="20"/>
        </w:rPr>
        <w:t>alkali market is still experiencing a phase of consolidation but the regional market has shown signs of stability</w:t>
      </w:r>
      <w:r w:rsidR="00876F98">
        <w:rPr>
          <w:rFonts w:ascii="Times New Roman" w:hAnsi="Times New Roman"/>
          <w:sz w:val="20"/>
          <w:szCs w:val="20"/>
        </w:rPr>
        <w:t>. The polymer coating business</w:t>
      </w:r>
      <w:r w:rsidRPr="004718ED">
        <w:rPr>
          <w:rFonts w:ascii="Times New Roman" w:hAnsi="Times New Roman"/>
          <w:sz w:val="20"/>
          <w:szCs w:val="20"/>
        </w:rPr>
        <w:t xml:space="preserve"> is expected to soften the cyclical effect of the chlor alkali market. The Divi</w:t>
      </w:r>
      <w:r w:rsidR="00CE05C3">
        <w:rPr>
          <w:rFonts w:ascii="Times New Roman" w:hAnsi="Times New Roman"/>
          <w:sz w:val="20"/>
          <w:szCs w:val="20"/>
        </w:rPr>
        <w:t xml:space="preserve">sion is </w:t>
      </w:r>
      <w:r w:rsidR="00876F98">
        <w:rPr>
          <w:rFonts w:ascii="Times New Roman" w:hAnsi="Times New Roman"/>
          <w:sz w:val="20"/>
          <w:szCs w:val="20"/>
        </w:rPr>
        <w:t xml:space="preserve">implementing </w:t>
      </w:r>
      <w:r w:rsidR="003E4544">
        <w:rPr>
          <w:rFonts w:ascii="Times New Roman" w:hAnsi="Times New Roman"/>
          <w:sz w:val="20"/>
          <w:szCs w:val="20"/>
        </w:rPr>
        <w:t xml:space="preserve"> continuous improvement program to extract operational savings</w:t>
      </w:r>
      <w:r w:rsidR="00CE05C3">
        <w:rPr>
          <w:rFonts w:ascii="Times New Roman" w:hAnsi="Times New Roman"/>
          <w:sz w:val="20"/>
          <w:szCs w:val="20"/>
        </w:rPr>
        <w:t xml:space="preserve"> and striving to</w:t>
      </w:r>
      <w:r w:rsidRPr="004718ED">
        <w:rPr>
          <w:rFonts w:ascii="Times New Roman" w:hAnsi="Times New Roman"/>
          <w:sz w:val="20"/>
          <w:szCs w:val="20"/>
        </w:rPr>
        <w:t xml:space="preserve"> increase its trading margin for the c</w:t>
      </w:r>
      <w:r w:rsidR="00CE05C3">
        <w:rPr>
          <w:rFonts w:ascii="Times New Roman" w:hAnsi="Times New Roman"/>
          <w:sz w:val="20"/>
          <w:szCs w:val="20"/>
        </w:rPr>
        <w:t>urrent financial year, while expanding</w:t>
      </w:r>
      <w:r w:rsidRPr="004718ED">
        <w:rPr>
          <w:rFonts w:ascii="Times New Roman" w:hAnsi="Times New Roman"/>
          <w:sz w:val="20"/>
          <w:szCs w:val="20"/>
        </w:rPr>
        <w:t xml:space="preserve"> its customer base within the region.</w:t>
      </w:r>
    </w:p>
    <w:p w:rsidR="00B66C08" w:rsidRPr="004718ED" w:rsidRDefault="00B66C08" w:rsidP="00995855">
      <w:pPr>
        <w:spacing w:after="0"/>
        <w:ind w:left="720"/>
        <w:rPr>
          <w:rFonts w:ascii="Times New Roman" w:hAnsi="Times New Roman"/>
          <w:sz w:val="20"/>
          <w:szCs w:val="20"/>
        </w:rPr>
      </w:pPr>
    </w:p>
    <w:p w:rsidR="00995855" w:rsidRPr="00CC6897" w:rsidRDefault="000A3290" w:rsidP="00995855">
      <w:pPr>
        <w:spacing w:after="0"/>
        <w:ind w:left="720"/>
        <w:jc w:val="both"/>
        <w:rPr>
          <w:rFonts w:ascii="Times New Roman" w:hAnsi="Times New Roman"/>
          <w:sz w:val="20"/>
          <w:szCs w:val="20"/>
          <w:shd w:val="clear" w:color="auto" w:fill="FFFFFF"/>
        </w:rPr>
      </w:pPr>
      <w:r w:rsidRPr="004718ED">
        <w:rPr>
          <w:rFonts w:ascii="Times New Roman" w:hAnsi="Times New Roman"/>
          <w:sz w:val="20"/>
          <w:szCs w:val="20"/>
          <w:shd w:val="clear" w:color="auto" w:fill="FFFFFF"/>
        </w:rPr>
        <w:t>The demand of fertilizers is ex</w:t>
      </w:r>
      <w:r w:rsidR="00995855" w:rsidRPr="004718ED">
        <w:rPr>
          <w:rFonts w:ascii="Times New Roman" w:hAnsi="Times New Roman"/>
          <w:sz w:val="20"/>
          <w:szCs w:val="20"/>
          <w:shd w:val="clear" w:color="auto" w:fill="FFFFFF"/>
        </w:rPr>
        <w:t>pected to</w:t>
      </w:r>
      <w:r w:rsidR="007E18B3">
        <w:rPr>
          <w:rFonts w:ascii="Times New Roman" w:hAnsi="Times New Roman"/>
          <w:sz w:val="20"/>
          <w:szCs w:val="20"/>
          <w:shd w:val="clear" w:color="auto" w:fill="FFFFFF"/>
        </w:rPr>
        <w:t xml:space="preserve"> </w:t>
      </w:r>
      <w:r w:rsidR="00391987">
        <w:rPr>
          <w:rFonts w:ascii="Times New Roman" w:hAnsi="Times New Roman"/>
          <w:sz w:val="20"/>
          <w:szCs w:val="20"/>
          <w:shd w:val="clear" w:color="auto" w:fill="FFFFFF"/>
        </w:rPr>
        <w:t>remain</w:t>
      </w:r>
      <w:r w:rsidR="002D1522">
        <w:rPr>
          <w:rFonts w:ascii="Times New Roman" w:hAnsi="Times New Roman"/>
          <w:sz w:val="20"/>
          <w:szCs w:val="20"/>
          <w:shd w:val="clear" w:color="auto" w:fill="FFFFFF"/>
        </w:rPr>
        <w:t xml:space="preserve"> challenging in view of expectation of lower crude palm oil (CPO)</w:t>
      </w:r>
      <w:r w:rsidR="00103195">
        <w:rPr>
          <w:rFonts w:ascii="Times New Roman" w:hAnsi="Times New Roman"/>
          <w:sz w:val="20"/>
          <w:szCs w:val="20"/>
          <w:shd w:val="clear" w:color="auto" w:fill="FFFFFF"/>
        </w:rPr>
        <w:t xml:space="preserve"> prices</w:t>
      </w:r>
      <w:r w:rsidR="002D1522">
        <w:rPr>
          <w:rFonts w:ascii="Times New Roman" w:hAnsi="Times New Roman"/>
          <w:sz w:val="20"/>
          <w:szCs w:val="20"/>
          <w:shd w:val="clear" w:color="auto" w:fill="FFFFFF"/>
        </w:rPr>
        <w:t xml:space="preserve"> and consequently, plantation owners implementing cost savings measures. </w:t>
      </w:r>
      <w:r w:rsidR="00995855" w:rsidRPr="004718ED">
        <w:rPr>
          <w:rFonts w:ascii="Times New Roman" w:hAnsi="Times New Roman"/>
          <w:sz w:val="20"/>
          <w:szCs w:val="20"/>
          <w:shd w:val="clear" w:color="auto" w:fill="FFFFFF"/>
        </w:rPr>
        <w:t xml:space="preserve">Notwithstanding the above, Fertilizers Division </w:t>
      </w:r>
      <w:r w:rsidR="00995855" w:rsidRPr="00CC6897">
        <w:rPr>
          <w:rFonts w:ascii="Times New Roman" w:hAnsi="Times New Roman"/>
          <w:sz w:val="20"/>
          <w:szCs w:val="20"/>
          <w:shd w:val="clear" w:color="auto" w:fill="FFFFFF"/>
        </w:rPr>
        <w:t>will continue to focus on</w:t>
      </w:r>
      <w:r w:rsidR="002D056A" w:rsidRPr="00CC6897">
        <w:rPr>
          <w:rFonts w:ascii="Times New Roman" w:hAnsi="Times New Roman"/>
          <w:sz w:val="20"/>
          <w:szCs w:val="20"/>
          <w:shd w:val="clear" w:color="auto" w:fill="FFFFFF"/>
        </w:rPr>
        <w:t xml:space="preserve"> aggressive sales and promotions activities</w:t>
      </w:r>
      <w:r w:rsidR="00E8460D" w:rsidRPr="00CC6897">
        <w:rPr>
          <w:rFonts w:ascii="Times New Roman" w:hAnsi="Times New Roman"/>
          <w:sz w:val="20"/>
          <w:szCs w:val="20"/>
          <w:shd w:val="clear" w:color="auto" w:fill="FFFFFF"/>
        </w:rPr>
        <w:t>,</w:t>
      </w:r>
      <w:r w:rsidR="007E18B3" w:rsidRPr="00CC6897">
        <w:rPr>
          <w:rFonts w:ascii="Times New Roman" w:hAnsi="Times New Roman"/>
          <w:sz w:val="20"/>
          <w:szCs w:val="20"/>
          <w:shd w:val="clear" w:color="auto" w:fill="FFFFFF"/>
        </w:rPr>
        <w:t xml:space="preserve">  </w:t>
      </w:r>
      <w:r w:rsidR="00995855" w:rsidRPr="00CC6897">
        <w:rPr>
          <w:rFonts w:ascii="Times New Roman" w:hAnsi="Times New Roman"/>
          <w:sz w:val="20"/>
          <w:szCs w:val="20"/>
          <w:shd w:val="clear" w:color="auto" w:fill="FFFFFF"/>
        </w:rPr>
        <w:t>operational excellence</w:t>
      </w:r>
      <w:r w:rsidR="00E8460D" w:rsidRPr="00CC6897">
        <w:rPr>
          <w:rFonts w:ascii="Times New Roman" w:hAnsi="Times New Roman"/>
          <w:sz w:val="20"/>
          <w:szCs w:val="20"/>
          <w:shd w:val="clear" w:color="auto" w:fill="FFFFFF"/>
        </w:rPr>
        <w:t xml:space="preserve"> and a review of the business</w:t>
      </w:r>
      <w:r w:rsidR="00B22AC8" w:rsidRPr="00CC6897">
        <w:rPr>
          <w:rFonts w:ascii="Times New Roman" w:hAnsi="Times New Roman"/>
          <w:sz w:val="20"/>
          <w:szCs w:val="20"/>
          <w:shd w:val="clear" w:color="auto" w:fill="FFFFFF"/>
        </w:rPr>
        <w:t xml:space="preserve"> in an effort</w:t>
      </w:r>
      <w:r w:rsidR="00995855" w:rsidRPr="00CC6897">
        <w:rPr>
          <w:rFonts w:ascii="Times New Roman" w:hAnsi="Times New Roman"/>
          <w:sz w:val="20"/>
          <w:szCs w:val="20"/>
          <w:shd w:val="clear" w:color="auto" w:fill="FFFFFF"/>
        </w:rPr>
        <w:t xml:space="preserve"> to improve</w:t>
      </w:r>
      <w:r w:rsidR="00B22AC8" w:rsidRPr="00CC6897">
        <w:rPr>
          <w:rFonts w:ascii="Times New Roman" w:hAnsi="Times New Roman"/>
          <w:sz w:val="20"/>
          <w:szCs w:val="20"/>
          <w:shd w:val="clear" w:color="auto" w:fill="FFFFFF"/>
        </w:rPr>
        <w:t xml:space="preserve"> its profit</w:t>
      </w:r>
      <w:r w:rsidR="00E8460D" w:rsidRPr="00CC6897">
        <w:rPr>
          <w:rFonts w:ascii="Times New Roman" w:hAnsi="Times New Roman"/>
          <w:sz w:val="20"/>
          <w:szCs w:val="20"/>
          <w:shd w:val="clear" w:color="auto" w:fill="FFFFFF"/>
        </w:rPr>
        <w:t>ability</w:t>
      </w:r>
      <w:r w:rsidR="005C5DF5" w:rsidRPr="00CC6897">
        <w:rPr>
          <w:rFonts w:ascii="Times New Roman" w:hAnsi="Times New Roman"/>
          <w:sz w:val="20"/>
          <w:szCs w:val="20"/>
          <w:shd w:val="clear" w:color="auto" w:fill="FFFFFF"/>
        </w:rPr>
        <w:t>.</w:t>
      </w:r>
    </w:p>
    <w:p w:rsidR="00B22AC8" w:rsidRPr="00CC6897" w:rsidRDefault="00B22AC8" w:rsidP="00995855">
      <w:pPr>
        <w:spacing w:after="0"/>
        <w:ind w:left="720"/>
        <w:jc w:val="both"/>
        <w:rPr>
          <w:rFonts w:ascii="Times New Roman" w:hAnsi="Times New Roman"/>
          <w:sz w:val="20"/>
          <w:szCs w:val="20"/>
        </w:rPr>
      </w:pPr>
    </w:p>
    <w:p w:rsidR="001741D9" w:rsidRPr="00C20B7D" w:rsidRDefault="00CC6897" w:rsidP="003E4544">
      <w:pPr>
        <w:spacing w:after="0"/>
        <w:ind w:left="720"/>
        <w:jc w:val="both"/>
        <w:rPr>
          <w:rFonts w:ascii="Times New Roman" w:hAnsi="Times New Roman"/>
          <w:sz w:val="20"/>
          <w:szCs w:val="20"/>
        </w:rPr>
      </w:pPr>
      <w:r w:rsidRPr="007711F3">
        <w:rPr>
          <w:rFonts w:ascii="Times New Roman" w:hAnsi="Times New Roman"/>
          <w:color w:val="222222"/>
          <w:sz w:val="20"/>
          <w:szCs w:val="20"/>
          <w:shd w:val="clear" w:color="auto" w:fill="FFFFFF"/>
        </w:rPr>
        <w:t>The Group remains positive for a better operating results for the financial year ending</w:t>
      </w:r>
      <w:r w:rsidRPr="007711F3">
        <w:rPr>
          <w:rStyle w:val="apple-converted-space"/>
          <w:rFonts w:ascii="Times New Roman" w:hAnsi="Times New Roman"/>
          <w:color w:val="222222"/>
          <w:sz w:val="20"/>
          <w:szCs w:val="20"/>
          <w:shd w:val="clear" w:color="auto" w:fill="FFFFFF"/>
        </w:rPr>
        <w:t> </w:t>
      </w:r>
      <w:r w:rsidRPr="007711F3">
        <w:rPr>
          <w:rStyle w:val="aqj"/>
          <w:rFonts w:ascii="Times New Roman" w:hAnsi="Times New Roman"/>
          <w:color w:val="222222"/>
          <w:sz w:val="20"/>
          <w:szCs w:val="20"/>
          <w:shd w:val="clear" w:color="auto" w:fill="FFFFFF"/>
        </w:rPr>
        <w:t>31 December 2015</w:t>
      </w:r>
      <w:r w:rsidRPr="007711F3">
        <w:rPr>
          <w:rFonts w:ascii="Times New Roman" w:hAnsi="Times New Roman"/>
          <w:color w:val="222222"/>
          <w:sz w:val="20"/>
          <w:szCs w:val="20"/>
          <w:shd w:val="clear" w:color="auto" w:fill="FFFFFF"/>
        </w:rPr>
        <w:t>, albeit on a challenging business environment.</w:t>
      </w:r>
    </w:p>
    <w:p w:rsidR="00E9390D" w:rsidRDefault="00E9390D" w:rsidP="00741BB0">
      <w:pPr>
        <w:spacing w:after="0"/>
        <w:ind w:left="720"/>
        <w:jc w:val="both"/>
        <w:rPr>
          <w:rFonts w:ascii="Times New Roman" w:hAnsi="Times New Roman"/>
          <w:sz w:val="20"/>
          <w:szCs w:val="20"/>
        </w:rPr>
      </w:pPr>
    </w:p>
    <w:p w:rsidR="00196276" w:rsidRPr="00644002" w:rsidRDefault="00196276" w:rsidP="003A70C6">
      <w:pPr>
        <w:tabs>
          <w:tab w:val="left" w:pos="720"/>
        </w:tabs>
        <w:spacing w:after="0"/>
        <w:ind w:left="0"/>
        <w:rPr>
          <w:rFonts w:ascii="Times New Roman" w:hAnsi="Times New Roman"/>
          <w:b/>
          <w:bCs/>
          <w:sz w:val="20"/>
          <w:szCs w:val="20"/>
        </w:rPr>
      </w:pPr>
      <w:r w:rsidRPr="00644002">
        <w:rPr>
          <w:rFonts w:ascii="Times New Roman" w:hAnsi="Times New Roman"/>
          <w:b/>
          <w:bCs/>
          <w:sz w:val="20"/>
          <w:szCs w:val="20"/>
        </w:rPr>
        <w:t>B4)</w:t>
      </w:r>
      <w:r w:rsidRPr="00644002">
        <w:rPr>
          <w:rFonts w:ascii="Times New Roman" w:hAnsi="Times New Roman"/>
          <w:sz w:val="20"/>
          <w:szCs w:val="20"/>
        </w:rPr>
        <w:tab/>
      </w:r>
      <w:r w:rsidRPr="00644002">
        <w:rPr>
          <w:rFonts w:ascii="Times New Roman" w:hAnsi="Times New Roman"/>
          <w:b/>
          <w:bCs/>
          <w:sz w:val="20"/>
          <w:szCs w:val="20"/>
        </w:rPr>
        <w:t>Variance of Actual Profit from Forecast Profit</w:t>
      </w:r>
    </w:p>
    <w:p w:rsidR="00196276" w:rsidRPr="00644002" w:rsidRDefault="00196276" w:rsidP="00196276">
      <w:pPr>
        <w:spacing w:after="0"/>
        <w:ind w:left="540"/>
        <w:rPr>
          <w:rFonts w:ascii="Times New Roman" w:hAnsi="Times New Roman"/>
          <w:sz w:val="20"/>
          <w:szCs w:val="20"/>
        </w:rPr>
      </w:pPr>
    </w:p>
    <w:p w:rsidR="00196276" w:rsidRPr="00644002" w:rsidRDefault="00196276" w:rsidP="00196276">
      <w:pPr>
        <w:spacing w:after="0"/>
        <w:ind w:left="540" w:firstLine="180"/>
        <w:jc w:val="both"/>
        <w:rPr>
          <w:rFonts w:ascii="Times New Roman" w:hAnsi="Times New Roman"/>
          <w:sz w:val="20"/>
          <w:szCs w:val="20"/>
        </w:rPr>
      </w:pPr>
      <w:r w:rsidRPr="00644002">
        <w:rPr>
          <w:rFonts w:ascii="Times New Roman" w:hAnsi="Times New Roman"/>
          <w:sz w:val="20"/>
          <w:szCs w:val="20"/>
        </w:rPr>
        <w:t>The Group did not make any profit forecast or issue any profit guarantee.</w:t>
      </w:r>
    </w:p>
    <w:p w:rsidR="00196276" w:rsidRDefault="00196276" w:rsidP="00644002">
      <w:pPr>
        <w:spacing w:after="0"/>
        <w:ind w:left="540"/>
        <w:rPr>
          <w:rFonts w:ascii="Times New Roman" w:hAnsi="Times New Roman"/>
          <w:sz w:val="20"/>
          <w:szCs w:val="20"/>
        </w:rPr>
      </w:pPr>
    </w:p>
    <w:p w:rsidR="00E4586B" w:rsidRPr="006A05A0" w:rsidRDefault="00E4586B" w:rsidP="002A0DB7">
      <w:pPr>
        <w:tabs>
          <w:tab w:val="left" w:pos="720"/>
        </w:tabs>
        <w:spacing w:after="0"/>
        <w:ind w:left="720" w:hanging="720"/>
        <w:rPr>
          <w:rFonts w:ascii="Times New Roman" w:hAnsi="Times New Roman"/>
          <w:b/>
          <w:bCs/>
          <w:sz w:val="20"/>
          <w:szCs w:val="20"/>
        </w:rPr>
      </w:pPr>
      <w:r w:rsidRPr="00644002">
        <w:rPr>
          <w:rFonts w:ascii="Times New Roman" w:hAnsi="Times New Roman"/>
          <w:b/>
          <w:bCs/>
          <w:sz w:val="20"/>
          <w:szCs w:val="20"/>
        </w:rPr>
        <w:t>B5)</w:t>
      </w:r>
      <w:r w:rsidRPr="00644002">
        <w:rPr>
          <w:rFonts w:ascii="Times New Roman" w:hAnsi="Times New Roman"/>
          <w:b/>
          <w:bCs/>
          <w:sz w:val="20"/>
          <w:szCs w:val="20"/>
        </w:rPr>
        <w:tab/>
      </w:r>
      <w:r w:rsidRPr="006A05A0">
        <w:rPr>
          <w:rFonts w:ascii="Times New Roman" w:hAnsi="Times New Roman"/>
          <w:b/>
          <w:bCs/>
          <w:sz w:val="20"/>
          <w:szCs w:val="20"/>
        </w:rPr>
        <w:t>Taxation</w:t>
      </w:r>
    </w:p>
    <w:p w:rsidR="00E11F34" w:rsidRPr="006A05A0" w:rsidRDefault="00E11F34" w:rsidP="00644002">
      <w:pPr>
        <w:spacing w:after="0"/>
        <w:ind w:left="540"/>
        <w:rPr>
          <w:rFonts w:ascii="Times New Roman" w:hAnsi="Times New Roman"/>
          <w:sz w:val="20"/>
          <w:szCs w:val="20"/>
        </w:rPr>
      </w:pPr>
    </w:p>
    <w:p w:rsidR="00E4586B" w:rsidRPr="006A05A0" w:rsidRDefault="00E4586B" w:rsidP="002A0DB7">
      <w:pPr>
        <w:spacing w:after="0"/>
        <w:ind w:left="540" w:firstLine="180"/>
        <w:jc w:val="both"/>
        <w:rPr>
          <w:rFonts w:ascii="Times New Roman" w:hAnsi="Times New Roman"/>
          <w:sz w:val="20"/>
          <w:szCs w:val="20"/>
        </w:rPr>
      </w:pPr>
      <w:r w:rsidRPr="006A05A0">
        <w:rPr>
          <w:rFonts w:ascii="Times New Roman" w:hAnsi="Times New Roman"/>
          <w:sz w:val="20"/>
          <w:szCs w:val="20"/>
        </w:rPr>
        <w:t>Taxation charge of the Group for the current quarter and financial period was as follows:</w:t>
      </w:r>
    </w:p>
    <w:p w:rsidR="00166AA9" w:rsidRPr="006A05A0" w:rsidRDefault="00166AA9" w:rsidP="00644002">
      <w:pPr>
        <w:spacing w:after="0"/>
        <w:ind w:left="540"/>
        <w:rPr>
          <w:rFonts w:ascii="Times New Roman" w:hAnsi="Times New Roman"/>
          <w:sz w:val="20"/>
          <w:szCs w:val="20"/>
        </w:rPr>
      </w:pPr>
    </w:p>
    <w:p w:rsidR="005F23E4" w:rsidRDefault="005F23E4" w:rsidP="00E30685">
      <w:pPr>
        <w:spacing w:after="0"/>
        <w:ind w:left="720"/>
        <w:rPr>
          <w:rFonts w:ascii="Times New Roman" w:hAnsi="Times New Roman"/>
          <w:sz w:val="20"/>
          <w:szCs w:val="20"/>
        </w:rPr>
      </w:pPr>
    </w:p>
    <w:p w:rsidR="00027374" w:rsidRDefault="00A02B0B" w:rsidP="00E30685">
      <w:pPr>
        <w:spacing w:after="0"/>
        <w:ind w:left="720"/>
        <w:rPr>
          <w:rFonts w:ascii="Times New Roman" w:hAnsi="Times New Roman"/>
          <w:sz w:val="20"/>
          <w:szCs w:val="20"/>
        </w:rPr>
      </w:pPr>
      <w:r w:rsidRPr="00A02B0B">
        <w:rPr>
          <w:noProof/>
          <w:szCs w:val="20"/>
          <w:lang w:val="en-MY" w:eastAsia="en-MY" w:bidi="ar-SA"/>
        </w:rPr>
        <w:drawing>
          <wp:inline distT="0" distB="0" distL="0" distR="0">
            <wp:extent cx="4010025" cy="1276350"/>
            <wp:effectExtent l="0" t="0" r="9525"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4010025" cy="1276350"/>
                    </a:xfrm>
                    <a:prstGeom prst="rect">
                      <a:avLst/>
                    </a:prstGeom>
                    <a:noFill/>
                    <a:ln w="9525">
                      <a:noFill/>
                      <a:miter lim="800000"/>
                      <a:headEnd/>
                      <a:tailEnd/>
                    </a:ln>
                  </pic:spPr>
                </pic:pic>
              </a:graphicData>
            </a:graphic>
          </wp:inline>
        </w:drawing>
      </w:r>
    </w:p>
    <w:p w:rsidR="00027374" w:rsidRDefault="00027374" w:rsidP="00393488">
      <w:pPr>
        <w:spacing w:after="0"/>
        <w:ind w:left="540"/>
        <w:rPr>
          <w:rFonts w:ascii="Times New Roman" w:hAnsi="Times New Roman"/>
          <w:sz w:val="20"/>
          <w:szCs w:val="20"/>
        </w:rPr>
      </w:pPr>
    </w:p>
    <w:p w:rsidR="00C12E18" w:rsidRDefault="00C12E18" w:rsidP="00393488">
      <w:pPr>
        <w:spacing w:after="0"/>
        <w:ind w:left="540"/>
        <w:rPr>
          <w:rFonts w:ascii="Times New Roman" w:hAnsi="Times New Roman"/>
          <w:sz w:val="20"/>
          <w:szCs w:val="20"/>
        </w:rPr>
      </w:pPr>
    </w:p>
    <w:p w:rsidR="003852FD" w:rsidRDefault="003852FD" w:rsidP="00393488">
      <w:pPr>
        <w:spacing w:after="0"/>
        <w:ind w:left="540"/>
        <w:rPr>
          <w:rFonts w:ascii="Times New Roman" w:hAnsi="Times New Roman"/>
          <w:sz w:val="20"/>
          <w:szCs w:val="20"/>
        </w:rPr>
      </w:pPr>
    </w:p>
    <w:p w:rsidR="005F23E4" w:rsidRDefault="005F23E4" w:rsidP="00393488">
      <w:pPr>
        <w:spacing w:after="0"/>
        <w:ind w:left="540"/>
        <w:rPr>
          <w:rFonts w:ascii="Times New Roman" w:hAnsi="Times New Roman"/>
          <w:sz w:val="20"/>
          <w:szCs w:val="20"/>
        </w:rPr>
      </w:pPr>
    </w:p>
    <w:p w:rsidR="00393488" w:rsidRPr="00644002" w:rsidRDefault="00393488" w:rsidP="00393488">
      <w:pPr>
        <w:tabs>
          <w:tab w:val="left" w:pos="720"/>
        </w:tabs>
        <w:spacing w:after="0"/>
        <w:ind w:left="720" w:hanging="720"/>
        <w:rPr>
          <w:rFonts w:ascii="Times New Roman" w:hAnsi="Times New Roman"/>
          <w:b/>
          <w:bCs/>
          <w:sz w:val="20"/>
          <w:szCs w:val="20"/>
        </w:rPr>
      </w:pPr>
      <w:r w:rsidRPr="00644002">
        <w:rPr>
          <w:rFonts w:ascii="Times New Roman" w:hAnsi="Times New Roman"/>
          <w:b/>
          <w:bCs/>
          <w:sz w:val="20"/>
          <w:szCs w:val="20"/>
        </w:rPr>
        <w:t>B6)</w:t>
      </w:r>
      <w:r w:rsidRPr="00644002">
        <w:rPr>
          <w:rFonts w:ascii="Times New Roman" w:hAnsi="Times New Roman"/>
          <w:b/>
          <w:bCs/>
          <w:sz w:val="20"/>
          <w:szCs w:val="20"/>
        </w:rPr>
        <w:tab/>
        <w:t>Profit Before Tax</w:t>
      </w:r>
    </w:p>
    <w:p w:rsidR="007B1ACE" w:rsidRDefault="00E30685" w:rsidP="00393488">
      <w:pPr>
        <w:spacing w:after="0"/>
        <w:ind w:left="720" w:right="-7"/>
        <w:jc w:val="both"/>
        <w:rPr>
          <w:rFonts w:ascii="Times New Roman" w:hAnsi="Times New Roman"/>
          <w:sz w:val="20"/>
          <w:szCs w:val="20"/>
        </w:rPr>
      </w:pPr>
      <w:r w:rsidRPr="00E30685">
        <w:rPr>
          <w:noProof/>
          <w:szCs w:val="20"/>
          <w:lang w:val="en-MY" w:eastAsia="en-MY" w:bidi="ar-SA"/>
        </w:rPr>
        <w:drawing>
          <wp:inline distT="0" distB="0" distL="0" distR="0">
            <wp:extent cx="5219700" cy="24384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5219700" cy="2438400"/>
                    </a:xfrm>
                    <a:prstGeom prst="rect">
                      <a:avLst/>
                    </a:prstGeom>
                    <a:noFill/>
                    <a:ln w="9525">
                      <a:noFill/>
                      <a:miter lim="800000"/>
                      <a:headEnd/>
                      <a:tailEnd/>
                    </a:ln>
                  </pic:spPr>
                </pic:pic>
              </a:graphicData>
            </a:graphic>
          </wp:inline>
        </w:drawing>
      </w:r>
    </w:p>
    <w:p w:rsidR="00E851E9" w:rsidRDefault="00E851E9" w:rsidP="00027374">
      <w:pPr>
        <w:spacing w:after="0"/>
        <w:ind w:left="720" w:right="-7"/>
        <w:jc w:val="both"/>
        <w:rPr>
          <w:rFonts w:ascii="Times New Roman" w:hAnsi="Times New Roman"/>
          <w:sz w:val="20"/>
          <w:szCs w:val="20"/>
        </w:rPr>
      </w:pPr>
    </w:p>
    <w:p w:rsidR="002E77DF" w:rsidRDefault="0042275A" w:rsidP="00027374">
      <w:pPr>
        <w:spacing w:after="0"/>
        <w:ind w:left="720" w:right="-7"/>
        <w:jc w:val="both"/>
        <w:rPr>
          <w:rFonts w:ascii="Times New Roman" w:hAnsi="Times New Roman"/>
          <w:sz w:val="20"/>
          <w:szCs w:val="20"/>
        </w:rPr>
      </w:pPr>
      <w:r>
        <w:rPr>
          <w:rFonts w:ascii="Times New Roman" w:hAnsi="Times New Roman"/>
          <w:sz w:val="20"/>
          <w:szCs w:val="20"/>
        </w:rPr>
        <w:t>O</w:t>
      </w:r>
      <w:r w:rsidR="00393488" w:rsidRPr="0022409F">
        <w:rPr>
          <w:rFonts w:ascii="Times New Roman" w:hAnsi="Times New Roman"/>
          <w:sz w:val="20"/>
          <w:szCs w:val="20"/>
        </w:rPr>
        <w:t xml:space="preserve">ther than the above, there </w:t>
      </w:r>
      <w:r w:rsidR="00E01D34" w:rsidRPr="0022409F">
        <w:rPr>
          <w:rFonts w:ascii="Times New Roman" w:hAnsi="Times New Roman"/>
          <w:sz w:val="20"/>
          <w:szCs w:val="20"/>
        </w:rPr>
        <w:t>was</w:t>
      </w:r>
      <w:r w:rsidR="00393488" w:rsidRPr="0022409F">
        <w:rPr>
          <w:rFonts w:ascii="Times New Roman" w:hAnsi="Times New Roman"/>
          <w:sz w:val="20"/>
          <w:szCs w:val="20"/>
        </w:rPr>
        <w:t xml:space="preserve"> no impairment of assets and gain or loss on derivatives for the current quarter</w:t>
      </w:r>
      <w:r w:rsidR="00AA6323">
        <w:rPr>
          <w:rFonts w:ascii="Times New Roman" w:hAnsi="Times New Roman"/>
          <w:sz w:val="20"/>
          <w:szCs w:val="20"/>
        </w:rPr>
        <w:t xml:space="preserve"> and current period under review</w:t>
      </w:r>
      <w:r w:rsidR="00393488" w:rsidRPr="00644002">
        <w:rPr>
          <w:rFonts w:ascii="Times New Roman" w:hAnsi="Times New Roman"/>
          <w:sz w:val="20"/>
          <w:szCs w:val="20"/>
        </w:rPr>
        <w:t>.</w:t>
      </w:r>
    </w:p>
    <w:p w:rsidR="002E77DF" w:rsidRPr="00644002" w:rsidRDefault="002E77DF" w:rsidP="0042275A">
      <w:pPr>
        <w:spacing w:after="0"/>
        <w:ind w:right="-7"/>
        <w:jc w:val="both"/>
        <w:rPr>
          <w:rFonts w:ascii="Times New Roman" w:hAnsi="Times New Roman"/>
          <w:sz w:val="20"/>
          <w:szCs w:val="20"/>
        </w:rPr>
      </w:pPr>
    </w:p>
    <w:p w:rsidR="00E4586B" w:rsidRPr="002C0955" w:rsidRDefault="00E4586B" w:rsidP="0007108D">
      <w:pPr>
        <w:spacing w:after="0"/>
        <w:ind w:left="720" w:right="-7" w:hanging="720"/>
        <w:jc w:val="both"/>
        <w:rPr>
          <w:rFonts w:ascii="Times New Roman" w:hAnsi="Times New Roman"/>
          <w:b/>
          <w:bCs/>
          <w:sz w:val="20"/>
          <w:szCs w:val="20"/>
        </w:rPr>
      </w:pPr>
      <w:r w:rsidRPr="00100D5B">
        <w:rPr>
          <w:rFonts w:ascii="Times New Roman" w:hAnsi="Times New Roman"/>
          <w:b/>
          <w:bCs/>
          <w:sz w:val="20"/>
          <w:szCs w:val="20"/>
        </w:rPr>
        <w:t>B</w:t>
      </w:r>
      <w:r w:rsidR="002D54E8" w:rsidRPr="00100D5B">
        <w:rPr>
          <w:rFonts w:ascii="Times New Roman" w:hAnsi="Times New Roman"/>
          <w:b/>
          <w:bCs/>
          <w:sz w:val="20"/>
          <w:szCs w:val="20"/>
        </w:rPr>
        <w:t>7</w:t>
      </w:r>
      <w:r w:rsidRPr="00100D5B">
        <w:rPr>
          <w:rFonts w:ascii="Times New Roman" w:hAnsi="Times New Roman"/>
          <w:b/>
          <w:bCs/>
          <w:sz w:val="20"/>
          <w:szCs w:val="20"/>
        </w:rPr>
        <w:t>)</w:t>
      </w:r>
      <w:r w:rsidRPr="00100D5B">
        <w:rPr>
          <w:rFonts w:ascii="Times New Roman" w:hAnsi="Times New Roman"/>
          <w:b/>
          <w:bCs/>
          <w:sz w:val="20"/>
          <w:szCs w:val="20"/>
        </w:rPr>
        <w:tab/>
      </w:r>
      <w:r w:rsidRPr="002C0955">
        <w:rPr>
          <w:rFonts w:ascii="Times New Roman" w:hAnsi="Times New Roman"/>
          <w:b/>
          <w:bCs/>
          <w:sz w:val="20"/>
          <w:szCs w:val="20"/>
        </w:rPr>
        <w:t xml:space="preserve">Status of corporate proposals </w:t>
      </w:r>
    </w:p>
    <w:p w:rsidR="00F94F2A" w:rsidRPr="007B766D" w:rsidRDefault="00F94F2A" w:rsidP="00D60483">
      <w:pPr>
        <w:spacing w:after="0"/>
        <w:ind w:left="540"/>
        <w:rPr>
          <w:rFonts w:ascii="Times New Roman" w:hAnsi="Times New Roman"/>
          <w:sz w:val="20"/>
          <w:szCs w:val="20"/>
        </w:rPr>
      </w:pPr>
    </w:p>
    <w:p w:rsidR="00E851E9" w:rsidRPr="0094738A" w:rsidRDefault="00E851E9" w:rsidP="00E851E9">
      <w:pPr>
        <w:pStyle w:val="ListParagraph"/>
        <w:numPr>
          <w:ilvl w:val="0"/>
          <w:numId w:val="22"/>
        </w:numPr>
        <w:spacing w:after="0" w:line="240" w:lineRule="auto"/>
        <w:ind w:hanging="720"/>
        <w:jc w:val="both"/>
        <w:rPr>
          <w:rFonts w:ascii="Times New Roman" w:hAnsi="Times New Roman"/>
          <w:sz w:val="20"/>
        </w:rPr>
      </w:pPr>
      <w:r w:rsidRPr="0094738A">
        <w:rPr>
          <w:rFonts w:ascii="Times New Roman" w:hAnsi="Times New Roman"/>
          <w:sz w:val="20"/>
        </w:rPr>
        <w:t xml:space="preserve">On 27 November 2014, </w:t>
      </w:r>
      <w:r w:rsidRPr="0094738A">
        <w:rPr>
          <w:rFonts w:ascii="Times New Roman" w:hAnsi="Times New Roman"/>
          <w:sz w:val="20"/>
          <w:szCs w:val="20"/>
        </w:rPr>
        <w:t>the Company had entered into a conditional share sale agreement (“</w:t>
      </w:r>
      <w:r w:rsidRPr="0094738A">
        <w:rPr>
          <w:rFonts w:ascii="Times New Roman" w:hAnsi="Times New Roman"/>
          <w:b/>
          <w:sz w:val="20"/>
          <w:szCs w:val="20"/>
        </w:rPr>
        <w:t>SSA</w:t>
      </w:r>
      <w:r w:rsidRPr="0094738A">
        <w:rPr>
          <w:rFonts w:ascii="Times New Roman" w:hAnsi="Times New Roman"/>
          <w:sz w:val="20"/>
          <w:szCs w:val="20"/>
        </w:rPr>
        <w:t>”) with CCM Duopharma Biotech Berhad (“</w:t>
      </w:r>
      <w:r w:rsidRPr="0094738A">
        <w:rPr>
          <w:rFonts w:ascii="Times New Roman" w:hAnsi="Times New Roman"/>
          <w:b/>
          <w:sz w:val="20"/>
          <w:szCs w:val="20"/>
        </w:rPr>
        <w:t>CCMD”</w:t>
      </w:r>
      <w:r w:rsidRPr="0094738A">
        <w:rPr>
          <w:rFonts w:ascii="Times New Roman" w:hAnsi="Times New Roman"/>
          <w:sz w:val="20"/>
          <w:szCs w:val="20"/>
        </w:rPr>
        <w:t>) for the following</w:t>
      </w:r>
      <w:r w:rsidRPr="0094738A">
        <w:rPr>
          <w:rFonts w:ascii="Times New Roman" w:hAnsi="Times New Roman"/>
          <w:sz w:val="20"/>
        </w:rPr>
        <w:t xml:space="preserve">: </w:t>
      </w:r>
    </w:p>
    <w:p w:rsidR="00E851E9" w:rsidRPr="0094738A" w:rsidRDefault="00E851E9" w:rsidP="00E851E9">
      <w:pPr>
        <w:pStyle w:val="ListParagraph"/>
        <w:spacing w:after="0" w:line="240" w:lineRule="auto"/>
        <w:ind w:left="2160"/>
        <w:jc w:val="both"/>
        <w:rPr>
          <w:rFonts w:ascii="Times New Roman" w:hAnsi="Times New Roman"/>
          <w:sz w:val="20"/>
          <w:szCs w:val="20"/>
        </w:rPr>
      </w:pPr>
    </w:p>
    <w:p w:rsidR="00E851E9" w:rsidRPr="0094738A" w:rsidRDefault="00E851E9" w:rsidP="00E851E9">
      <w:pPr>
        <w:pStyle w:val="ListParagraph"/>
        <w:numPr>
          <w:ilvl w:val="1"/>
          <w:numId w:val="21"/>
        </w:numPr>
        <w:spacing w:after="0" w:line="240" w:lineRule="auto"/>
        <w:ind w:left="2160" w:hanging="720"/>
        <w:jc w:val="both"/>
        <w:rPr>
          <w:rFonts w:ascii="Times New Roman" w:hAnsi="Times New Roman"/>
          <w:sz w:val="20"/>
          <w:szCs w:val="20"/>
        </w:rPr>
      </w:pPr>
      <w:r w:rsidRPr="0094738A">
        <w:rPr>
          <w:rFonts w:ascii="Times New Roman" w:hAnsi="Times New Roman"/>
          <w:sz w:val="20"/>
          <w:szCs w:val="20"/>
        </w:rPr>
        <w:t>proposed disposal of 100% equity interest in CCM Pharmaceuticals Sdn Bhd (“</w:t>
      </w:r>
      <w:r w:rsidRPr="0094738A">
        <w:rPr>
          <w:rFonts w:ascii="Times New Roman" w:hAnsi="Times New Roman"/>
          <w:b/>
          <w:sz w:val="20"/>
          <w:szCs w:val="20"/>
        </w:rPr>
        <w:t>CCMP</w:t>
      </w:r>
      <w:r w:rsidRPr="0094738A">
        <w:rPr>
          <w:rFonts w:ascii="Times New Roman" w:hAnsi="Times New Roman"/>
          <w:sz w:val="20"/>
          <w:szCs w:val="20"/>
        </w:rPr>
        <w:t>”) and its subsidiaries and settlement of outstanding inter-company advances owed by CCMP and/or its subsidiaries to the Group as at 30 September 2014; and</w:t>
      </w:r>
    </w:p>
    <w:p w:rsidR="00E851E9" w:rsidRPr="0094738A" w:rsidRDefault="00E851E9" w:rsidP="00E851E9">
      <w:pPr>
        <w:pStyle w:val="ListParagraph"/>
        <w:spacing w:after="0" w:line="240" w:lineRule="auto"/>
        <w:ind w:left="2160"/>
        <w:jc w:val="both"/>
        <w:rPr>
          <w:rFonts w:ascii="Times New Roman" w:hAnsi="Times New Roman"/>
          <w:sz w:val="20"/>
          <w:szCs w:val="20"/>
        </w:rPr>
      </w:pPr>
    </w:p>
    <w:p w:rsidR="00E851E9" w:rsidRPr="0094738A" w:rsidRDefault="00E851E9" w:rsidP="00E851E9">
      <w:pPr>
        <w:pStyle w:val="ListParagraph"/>
        <w:numPr>
          <w:ilvl w:val="1"/>
          <w:numId w:val="21"/>
        </w:numPr>
        <w:spacing w:after="0" w:line="240" w:lineRule="auto"/>
        <w:ind w:left="2160" w:hanging="720"/>
        <w:jc w:val="both"/>
        <w:rPr>
          <w:rFonts w:ascii="Times New Roman" w:hAnsi="Times New Roman"/>
          <w:sz w:val="20"/>
          <w:szCs w:val="20"/>
        </w:rPr>
      </w:pPr>
      <w:r w:rsidRPr="0094738A">
        <w:rPr>
          <w:rFonts w:ascii="Times New Roman" w:hAnsi="Times New Roman"/>
          <w:sz w:val="20"/>
          <w:szCs w:val="20"/>
        </w:rPr>
        <w:t>proposed disposal of 100% equity interest in Innovax Sdn Bhd (“</w:t>
      </w:r>
      <w:r w:rsidRPr="0094738A">
        <w:rPr>
          <w:rFonts w:ascii="Times New Roman" w:hAnsi="Times New Roman"/>
          <w:b/>
          <w:sz w:val="20"/>
          <w:szCs w:val="20"/>
        </w:rPr>
        <w:t>Innovax</w:t>
      </w:r>
      <w:r w:rsidRPr="0094738A">
        <w:rPr>
          <w:rFonts w:ascii="Times New Roman" w:hAnsi="Times New Roman"/>
          <w:sz w:val="20"/>
          <w:szCs w:val="20"/>
        </w:rPr>
        <w:t>”) and settlement of outstanding inter-company advances owed by Innovax to the Group as at 30 September 2014,</w:t>
      </w:r>
    </w:p>
    <w:p w:rsidR="00E851E9" w:rsidRPr="0094738A" w:rsidRDefault="00E851E9" w:rsidP="00E851E9">
      <w:pPr>
        <w:spacing w:after="0" w:line="240" w:lineRule="auto"/>
        <w:jc w:val="both"/>
        <w:rPr>
          <w:rFonts w:ascii="Times New Roman" w:hAnsi="Times New Roman"/>
          <w:sz w:val="20"/>
          <w:szCs w:val="20"/>
        </w:rPr>
      </w:pPr>
    </w:p>
    <w:p w:rsidR="00E851E9" w:rsidRPr="0094738A" w:rsidRDefault="00E851E9" w:rsidP="00E851E9">
      <w:pPr>
        <w:spacing w:after="0" w:line="240" w:lineRule="auto"/>
        <w:ind w:left="1440"/>
        <w:jc w:val="both"/>
        <w:rPr>
          <w:rFonts w:ascii="Times New Roman" w:hAnsi="Times New Roman"/>
          <w:sz w:val="20"/>
        </w:rPr>
      </w:pPr>
      <w:r w:rsidRPr="0094738A">
        <w:rPr>
          <w:rFonts w:ascii="Times New Roman" w:hAnsi="Times New Roman"/>
          <w:sz w:val="20"/>
        </w:rPr>
        <w:t>(collectively referred to as “</w:t>
      </w:r>
      <w:r w:rsidRPr="0094738A">
        <w:rPr>
          <w:rFonts w:ascii="Times New Roman" w:hAnsi="Times New Roman"/>
          <w:b/>
          <w:sz w:val="20"/>
        </w:rPr>
        <w:t>SSA 1</w:t>
      </w:r>
      <w:r w:rsidRPr="0094738A">
        <w:rPr>
          <w:rFonts w:ascii="Times New Roman" w:hAnsi="Times New Roman"/>
          <w:sz w:val="20"/>
        </w:rPr>
        <w:t>”).</w:t>
      </w:r>
    </w:p>
    <w:p w:rsidR="00E851E9" w:rsidRDefault="00E851E9" w:rsidP="00E851E9">
      <w:pPr>
        <w:spacing w:after="0" w:line="240" w:lineRule="auto"/>
        <w:ind w:left="1440"/>
        <w:jc w:val="both"/>
        <w:rPr>
          <w:rFonts w:ascii="Times New Roman" w:hAnsi="Times New Roman"/>
          <w:sz w:val="20"/>
        </w:rPr>
      </w:pPr>
    </w:p>
    <w:p w:rsidR="00E851E9" w:rsidRPr="0094738A" w:rsidRDefault="00E851E9" w:rsidP="00E851E9">
      <w:pPr>
        <w:pStyle w:val="ListParagraph"/>
        <w:numPr>
          <w:ilvl w:val="0"/>
          <w:numId w:val="22"/>
        </w:numPr>
        <w:spacing w:after="0" w:line="240" w:lineRule="auto"/>
        <w:ind w:hanging="720"/>
        <w:jc w:val="both"/>
        <w:rPr>
          <w:rFonts w:ascii="Times New Roman" w:hAnsi="Times New Roman"/>
          <w:sz w:val="20"/>
        </w:rPr>
      </w:pPr>
      <w:r w:rsidRPr="0094738A">
        <w:rPr>
          <w:rFonts w:ascii="Times New Roman" w:hAnsi="Times New Roman"/>
          <w:sz w:val="20"/>
        </w:rPr>
        <w:t xml:space="preserve">on 27 November 2014, </w:t>
      </w:r>
      <w:r w:rsidRPr="0094738A">
        <w:rPr>
          <w:rFonts w:ascii="Times New Roman" w:hAnsi="Times New Roman"/>
          <w:sz w:val="20"/>
          <w:szCs w:val="20"/>
        </w:rPr>
        <w:t>the Company had entered into a conditional SSA with Duopharma Manufacturing Sdn Bhd (“</w:t>
      </w:r>
      <w:r w:rsidRPr="0094738A">
        <w:rPr>
          <w:rFonts w:ascii="Times New Roman" w:hAnsi="Times New Roman"/>
          <w:b/>
          <w:sz w:val="20"/>
          <w:szCs w:val="20"/>
        </w:rPr>
        <w:t>DMSB</w:t>
      </w:r>
      <w:r w:rsidRPr="0094738A">
        <w:rPr>
          <w:rFonts w:ascii="Times New Roman" w:hAnsi="Times New Roman"/>
          <w:sz w:val="20"/>
          <w:szCs w:val="20"/>
        </w:rPr>
        <w:t>”) for the following</w:t>
      </w:r>
      <w:r w:rsidRPr="0094738A">
        <w:rPr>
          <w:rFonts w:ascii="Times New Roman" w:hAnsi="Times New Roman"/>
          <w:sz w:val="20"/>
        </w:rPr>
        <w:t xml:space="preserve">: </w:t>
      </w:r>
    </w:p>
    <w:p w:rsidR="00E851E9" w:rsidRPr="0094738A" w:rsidRDefault="00E851E9" w:rsidP="00E851E9">
      <w:pPr>
        <w:pStyle w:val="ListParagraph"/>
        <w:spacing w:after="0" w:line="240" w:lineRule="auto"/>
        <w:ind w:left="1440"/>
        <w:jc w:val="both"/>
        <w:rPr>
          <w:rFonts w:ascii="Times New Roman" w:hAnsi="Times New Roman"/>
          <w:sz w:val="20"/>
        </w:rPr>
      </w:pPr>
    </w:p>
    <w:p w:rsidR="00E851E9" w:rsidRPr="0094738A" w:rsidRDefault="00E851E9" w:rsidP="00E851E9">
      <w:pPr>
        <w:pStyle w:val="ListParagraph"/>
        <w:numPr>
          <w:ilvl w:val="0"/>
          <w:numId w:val="23"/>
        </w:numPr>
        <w:spacing w:after="0" w:line="240" w:lineRule="auto"/>
        <w:ind w:left="2160" w:hanging="720"/>
        <w:jc w:val="both"/>
        <w:rPr>
          <w:rFonts w:ascii="Times New Roman" w:hAnsi="Times New Roman"/>
          <w:sz w:val="20"/>
          <w:szCs w:val="20"/>
        </w:rPr>
      </w:pPr>
      <w:r w:rsidRPr="0094738A">
        <w:rPr>
          <w:rFonts w:ascii="Times New Roman" w:hAnsi="Times New Roman"/>
          <w:sz w:val="20"/>
          <w:szCs w:val="20"/>
        </w:rPr>
        <w:t>proposed disposal of 100% equity interest in CCM Pharma Sdn Bhd (“</w:t>
      </w:r>
      <w:r w:rsidRPr="0094738A">
        <w:rPr>
          <w:rFonts w:ascii="Times New Roman" w:hAnsi="Times New Roman"/>
          <w:b/>
          <w:sz w:val="20"/>
          <w:szCs w:val="20"/>
        </w:rPr>
        <w:t>CCM Pharma</w:t>
      </w:r>
      <w:r w:rsidRPr="0094738A">
        <w:rPr>
          <w:rFonts w:ascii="Times New Roman" w:hAnsi="Times New Roman"/>
          <w:sz w:val="20"/>
          <w:szCs w:val="20"/>
        </w:rPr>
        <w:t>”) and settlement of outstanding inter-company advances owed by CCM Pharma to the Group (if any) as at 30 September 2014; and</w:t>
      </w:r>
    </w:p>
    <w:p w:rsidR="00E851E9" w:rsidRPr="0094738A" w:rsidRDefault="00E851E9" w:rsidP="00E851E9">
      <w:pPr>
        <w:pStyle w:val="ListParagraph"/>
        <w:spacing w:after="0" w:line="240" w:lineRule="auto"/>
        <w:rPr>
          <w:rFonts w:ascii="Times New Roman" w:hAnsi="Times New Roman"/>
          <w:sz w:val="20"/>
          <w:szCs w:val="20"/>
        </w:rPr>
      </w:pPr>
    </w:p>
    <w:p w:rsidR="00E851E9" w:rsidRPr="0094738A" w:rsidRDefault="00E851E9" w:rsidP="00E851E9">
      <w:pPr>
        <w:pStyle w:val="ListParagraph"/>
        <w:numPr>
          <w:ilvl w:val="0"/>
          <w:numId w:val="23"/>
        </w:numPr>
        <w:spacing w:after="0" w:line="240" w:lineRule="auto"/>
        <w:ind w:left="2160" w:hanging="720"/>
        <w:jc w:val="both"/>
        <w:rPr>
          <w:rFonts w:ascii="Times New Roman" w:hAnsi="Times New Roman"/>
          <w:sz w:val="20"/>
          <w:szCs w:val="20"/>
        </w:rPr>
      </w:pPr>
      <w:r w:rsidRPr="0094738A">
        <w:rPr>
          <w:rFonts w:ascii="Times New Roman" w:hAnsi="Times New Roman"/>
          <w:sz w:val="20"/>
          <w:szCs w:val="20"/>
        </w:rPr>
        <w:t>proposed disposal of 100% equity interest in Upha Manufacturing Sdn Bhd (“</w:t>
      </w:r>
      <w:r w:rsidRPr="0094738A">
        <w:rPr>
          <w:rFonts w:ascii="Times New Roman" w:hAnsi="Times New Roman"/>
          <w:b/>
          <w:sz w:val="20"/>
          <w:szCs w:val="20"/>
        </w:rPr>
        <w:t>Upha</w:t>
      </w:r>
      <w:r w:rsidRPr="0094738A">
        <w:rPr>
          <w:rFonts w:ascii="Times New Roman" w:hAnsi="Times New Roman"/>
          <w:sz w:val="20"/>
          <w:szCs w:val="20"/>
        </w:rPr>
        <w:t>”) and settlement of outstanding inter-company advances owed by Upha to the Group as at 30 September 2014,</w:t>
      </w:r>
    </w:p>
    <w:p w:rsidR="00E851E9" w:rsidRPr="0094738A" w:rsidRDefault="00E851E9" w:rsidP="00E851E9">
      <w:pPr>
        <w:pStyle w:val="ListParagraph"/>
        <w:spacing w:after="0" w:line="240" w:lineRule="auto"/>
        <w:ind w:left="1440"/>
        <w:jc w:val="both"/>
        <w:rPr>
          <w:rFonts w:ascii="Times New Roman" w:hAnsi="Times New Roman"/>
          <w:sz w:val="20"/>
        </w:rPr>
      </w:pPr>
    </w:p>
    <w:p w:rsidR="00E851E9" w:rsidRPr="0094738A" w:rsidRDefault="00E851E9" w:rsidP="00E851E9">
      <w:pPr>
        <w:spacing w:after="0" w:line="240" w:lineRule="auto"/>
        <w:ind w:left="1440"/>
        <w:jc w:val="both"/>
        <w:rPr>
          <w:rFonts w:ascii="Times New Roman" w:hAnsi="Times New Roman"/>
          <w:sz w:val="20"/>
        </w:rPr>
      </w:pPr>
      <w:r w:rsidRPr="0094738A">
        <w:rPr>
          <w:rFonts w:ascii="Times New Roman" w:hAnsi="Times New Roman"/>
          <w:sz w:val="20"/>
        </w:rPr>
        <w:t>(collectively referred to as “</w:t>
      </w:r>
      <w:r w:rsidRPr="0094738A">
        <w:rPr>
          <w:rFonts w:ascii="Times New Roman" w:hAnsi="Times New Roman"/>
          <w:b/>
          <w:sz w:val="20"/>
        </w:rPr>
        <w:t>SSA 2</w:t>
      </w:r>
      <w:r w:rsidRPr="0094738A">
        <w:rPr>
          <w:rFonts w:ascii="Times New Roman" w:hAnsi="Times New Roman"/>
          <w:sz w:val="20"/>
        </w:rPr>
        <w:t>”).</w:t>
      </w:r>
    </w:p>
    <w:p w:rsidR="00E851E9" w:rsidRPr="0094738A" w:rsidRDefault="00E851E9" w:rsidP="00E851E9">
      <w:pPr>
        <w:pStyle w:val="ListParagraph"/>
        <w:spacing w:after="0" w:line="240" w:lineRule="auto"/>
        <w:ind w:left="1440"/>
        <w:jc w:val="both"/>
        <w:rPr>
          <w:rFonts w:ascii="Times New Roman" w:hAnsi="Times New Roman"/>
          <w:sz w:val="20"/>
        </w:rPr>
      </w:pPr>
    </w:p>
    <w:p w:rsidR="00E851E9" w:rsidRPr="0094738A" w:rsidRDefault="00E851E9" w:rsidP="00E851E9">
      <w:pPr>
        <w:pStyle w:val="ListParagraph"/>
        <w:numPr>
          <w:ilvl w:val="0"/>
          <w:numId w:val="22"/>
        </w:numPr>
        <w:spacing w:after="0" w:line="240" w:lineRule="auto"/>
        <w:ind w:hanging="720"/>
        <w:jc w:val="both"/>
        <w:rPr>
          <w:rFonts w:ascii="Times New Roman" w:hAnsi="Times New Roman"/>
          <w:sz w:val="20"/>
        </w:rPr>
      </w:pPr>
      <w:r w:rsidRPr="0094738A">
        <w:rPr>
          <w:rFonts w:ascii="Times New Roman" w:hAnsi="Times New Roman"/>
          <w:sz w:val="20"/>
        </w:rPr>
        <w:t xml:space="preserve">on 27 November 2014, </w:t>
      </w:r>
      <w:r w:rsidRPr="0094738A">
        <w:rPr>
          <w:rFonts w:ascii="Times New Roman" w:hAnsi="Times New Roman"/>
          <w:sz w:val="20"/>
          <w:szCs w:val="20"/>
        </w:rPr>
        <w:t>CCM International Sdn Bhd (“</w:t>
      </w:r>
      <w:r w:rsidRPr="0094738A">
        <w:rPr>
          <w:rFonts w:ascii="Times New Roman" w:hAnsi="Times New Roman"/>
          <w:b/>
          <w:sz w:val="20"/>
          <w:szCs w:val="20"/>
        </w:rPr>
        <w:t>CCM International</w:t>
      </w:r>
      <w:r w:rsidRPr="0094738A">
        <w:rPr>
          <w:rFonts w:ascii="Times New Roman" w:hAnsi="Times New Roman"/>
          <w:sz w:val="20"/>
          <w:szCs w:val="20"/>
        </w:rPr>
        <w:t>”), a wholly owned subsidiary of the Company, had entered into a conditional SSA with CCMD for the proposed disposal of 100% equity interest in CCM Pharmaceuticals (S) Pte Ltd (“</w:t>
      </w:r>
      <w:r w:rsidRPr="0094738A">
        <w:rPr>
          <w:rFonts w:ascii="Times New Roman" w:hAnsi="Times New Roman"/>
          <w:b/>
          <w:sz w:val="20"/>
          <w:szCs w:val="20"/>
        </w:rPr>
        <w:t>CCM Singapore</w:t>
      </w:r>
      <w:r w:rsidRPr="0094738A">
        <w:rPr>
          <w:rFonts w:ascii="Times New Roman" w:hAnsi="Times New Roman"/>
          <w:sz w:val="20"/>
          <w:szCs w:val="20"/>
        </w:rPr>
        <w:t>”) and settlement of outstanding inter-company advances owed by CCM Singapore to the Group (if any) as at 30 September 2014 (“</w:t>
      </w:r>
      <w:r w:rsidRPr="0094738A">
        <w:rPr>
          <w:rFonts w:ascii="Times New Roman" w:hAnsi="Times New Roman"/>
          <w:b/>
          <w:sz w:val="20"/>
          <w:szCs w:val="20"/>
        </w:rPr>
        <w:t>SSA 3</w:t>
      </w:r>
      <w:r w:rsidRPr="0094738A">
        <w:rPr>
          <w:rFonts w:ascii="Times New Roman" w:hAnsi="Times New Roman"/>
          <w:sz w:val="20"/>
          <w:szCs w:val="20"/>
        </w:rPr>
        <w:t>”); and</w:t>
      </w:r>
    </w:p>
    <w:p w:rsidR="00E851E9" w:rsidRPr="0094738A" w:rsidRDefault="00E851E9" w:rsidP="00E851E9">
      <w:pPr>
        <w:pStyle w:val="ListParagraph"/>
        <w:spacing w:after="0" w:line="240" w:lineRule="auto"/>
        <w:ind w:left="1440"/>
        <w:jc w:val="both"/>
        <w:rPr>
          <w:rFonts w:ascii="Times New Roman" w:hAnsi="Times New Roman"/>
          <w:sz w:val="20"/>
        </w:rPr>
      </w:pPr>
    </w:p>
    <w:p w:rsidR="00E851E9" w:rsidRPr="0094738A" w:rsidRDefault="00E851E9" w:rsidP="00E851E9">
      <w:pPr>
        <w:pStyle w:val="ListParagraph"/>
        <w:keepNext/>
        <w:keepLines/>
        <w:numPr>
          <w:ilvl w:val="0"/>
          <w:numId w:val="22"/>
        </w:numPr>
        <w:spacing w:after="0" w:line="240" w:lineRule="auto"/>
        <w:ind w:hanging="720"/>
        <w:jc w:val="both"/>
        <w:rPr>
          <w:rFonts w:ascii="Times New Roman" w:hAnsi="Times New Roman"/>
          <w:sz w:val="20"/>
        </w:rPr>
      </w:pPr>
      <w:r w:rsidRPr="0094738A">
        <w:rPr>
          <w:rFonts w:ascii="Times New Roman" w:hAnsi="Times New Roman"/>
          <w:sz w:val="20"/>
        </w:rPr>
        <w:t xml:space="preserve">on 27 November 2014, </w:t>
      </w:r>
      <w:r w:rsidRPr="0094738A">
        <w:rPr>
          <w:rFonts w:ascii="Times New Roman" w:hAnsi="Times New Roman"/>
          <w:sz w:val="20"/>
          <w:szCs w:val="20"/>
        </w:rPr>
        <w:t>CCM Investments Ltd. (“</w:t>
      </w:r>
      <w:r w:rsidRPr="0094738A">
        <w:rPr>
          <w:rFonts w:ascii="Times New Roman" w:hAnsi="Times New Roman"/>
          <w:b/>
          <w:sz w:val="20"/>
          <w:szCs w:val="20"/>
        </w:rPr>
        <w:t>CCM Investments</w:t>
      </w:r>
      <w:r w:rsidRPr="0094738A">
        <w:rPr>
          <w:rFonts w:ascii="Times New Roman" w:hAnsi="Times New Roman"/>
          <w:sz w:val="20"/>
          <w:szCs w:val="20"/>
        </w:rPr>
        <w:t>”), a wholly owned subsidiary of the Company, had entered into a conditional SSA with CCMD for the proposed disposal of 99.9% equity interest in CCM International (Philippines) Inc (“</w:t>
      </w:r>
      <w:r w:rsidRPr="0094738A">
        <w:rPr>
          <w:rFonts w:ascii="Times New Roman" w:hAnsi="Times New Roman"/>
          <w:b/>
          <w:sz w:val="20"/>
          <w:szCs w:val="20"/>
        </w:rPr>
        <w:t>CCM Philippines</w:t>
      </w:r>
      <w:r w:rsidRPr="0094738A">
        <w:rPr>
          <w:rFonts w:ascii="Times New Roman" w:hAnsi="Times New Roman"/>
          <w:sz w:val="20"/>
          <w:szCs w:val="20"/>
        </w:rPr>
        <w:t>”) and the capitalisation of inter-company advances made by CCM Investments or the Company or any subsidiary of the Company to CCM Philippines and for that purpose, issuance of new shares in CCM Philippines to CCM Investments (“</w:t>
      </w:r>
      <w:r w:rsidRPr="0094738A">
        <w:rPr>
          <w:rFonts w:ascii="Times New Roman" w:hAnsi="Times New Roman"/>
          <w:b/>
          <w:sz w:val="20"/>
          <w:szCs w:val="20"/>
        </w:rPr>
        <w:t>SSA 4</w:t>
      </w:r>
      <w:r w:rsidRPr="0094738A">
        <w:rPr>
          <w:rFonts w:ascii="Times New Roman" w:hAnsi="Times New Roman"/>
          <w:sz w:val="20"/>
          <w:szCs w:val="20"/>
        </w:rPr>
        <w:t>”).</w:t>
      </w:r>
    </w:p>
    <w:p w:rsidR="00E851E9" w:rsidRPr="0094738A" w:rsidRDefault="00E851E9" w:rsidP="00E851E9">
      <w:pPr>
        <w:keepNext/>
        <w:keepLines/>
        <w:spacing w:after="0" w:line="240" w:lineRule="auto"/>
        <w:jc w:val="both"/>
        <w:rPr>
          <w:rFonts w:ascii="Times New Roman" w:hAnsi="Times New Roman"/>
          <w:sz w:val="20"/>
        </w:rPr>
      </w:pPr>
    </w:p>
    <w:p w:rsidR="00E851E9" w:rsidRPr="0094738A" w:rsidRDefault="00E851E9" w:rsidP="00E851E9">
      <w:pPr>
        <w:spacing w:after="0" w:line="240" w:lineRule="auto"/>
        <w:ind w:left="720"/>
        <w:jc w:val="both"/>
        <w:rPr>
          <w:rFonts w:ascii="Times New Roman" w:hAnsi="Times New Roman"/>
          <w:sz w:val="20"/>
          <w:szCs w:val="20"/>
        </w:rPr>
      </w:pPr>
      <w:r w:rsidRPr="0094738A">
        <w:rPr>
          <w:rFonts w:ascii="Times New Roman" w:hAnsi="Times New Roman"/>
          <w:sz w:val="20"/>
          <w:szCs w:val="20"/>
        </w:rPr>
        <w:t>The SSA 1, SSA 2, SSA 3 and SSA 4 are collectively referred to as “</w:t>
      </w:r>
      <w:r w:rsidRPr="0094738A">
        <w:rPr>
          <w:rFonts w:ascii="Times New Roman" w:hAnsi="Times New Roman"/>
          <w:b/>
          <w:sz w:val="20"/>
          <w:szCs w:val="20"/>
        </w:rPr>
        <w:t>SSAs</w:t>
      </w:r>
      <w:r w:rsidRPr="0094738A">
        <w:rPr>
          <w:rFonts w:ascii="Times New Roman" w:hAnsi="Times New Roman"/>
          <w:sz w:val="20"/>
          <w:szCs w:val="20"/>
        </w:rPr>
        <w:t>”.</w:t>
      </w:r>
    </w:p>
    <w:p w:rsidR="00E851E9" w:rsidRPr="0094738A" w:rsidRDefault="00E851E9" w:rsidP="00E851E9">
      <w:pPr>
        <w:spacing w:after="0" w:line="240" w:lineRule="auto"/>
        <w:ind w:left="720"/>
        <w:jc w:val="both"/>
        <w:rPr>
          <w:rFonts w:ascii="Times New Roman" w:hAnsi="Times New Roman"/>
          <w:sz w:val="20"/>
          <w:szCs w:val="20"/>
        </w:rPr>
      </w:pPr>
    </w:p>
    <w:p w:rsidR="00E851E9" w:rsidRPr="0094738A" w:rsidRDefault="00E851E9" w:rsidP="00E851E9">
      <w:pPr>
        <w:keepNext/>
        <w:keepLines/>
        <w:shd w:val="clear" w:color="auto" w:fill="FFFFFF"/>
        <w:spacing w:after="0" w:line="240" w:lineRule="auto"/>
        <w:ind w:left="720"/>
        <w:jc w:val="both"/>
        <w:rPr>
          <w:rFonts w:ascii="Times New Roman" w:hAnsi="Times New Roman"/>
          <w:color w:val="000000"/>
          <w:sz w:val="20"/>
          <w:szCs w:val="20"/>
          <w:lang w:bidi="ar-SA"/>
        </w:rPr>
      </w:pPr>
      <w:r w:rsidRPr="0094738A">
        <w:rPr>
          <w:rFonts w:ascii="Times New Roman" w:hAnsi="Times New Roman"/>
          <w:color w:val="000000"/>
          <w:sz w:val="20"/>
          <w:szCs w:val="20"/>
          <w:lang w:bidi="ar-SA"/>
        </w:rPr>
        <w:t>Further to the above, on 24 December 2014, the Company had entered into the following supplementary agreements:</w:t>
      </w:r>
    </w:p>
    <w:p w:rsidR="00E851E9" w:rsidRPr="0094738A" w:rsidRDefault="00E851E9" w:rsidP="00E851E9">
      <w:pPr>
        <w:keepNext/>
        <w:keepLines/>
        <w:shd w:val="clear" w:color="auto" w:fill="FFFFFF"/>
        <w:spacing w:after="0" w:line="240" w:lineRule="auto"/>
        <w:ind w:left="720"/>
        <w:jc w:val="both"/>
        <w:rPr>
          <w:rFonts w:ascii="Times New Roman" w:hAnsi="Times New Roman"/>
          <w:color w:val="000000"/>
          <w:sz w:val="20"/>
          <w:szCs w:val="20"/>
          <w:lang w:val="en-US" w:bidi="ar-SA"/>
        </w:rPr>
      </w:pPr>
    </w:p>
    <w:p w:rsidR="00E851E9" w:rsidRPr="0094738A" w:rsidRDefault="00E851E9" w:rsidP="00E851E9">
      <w:pPr>
        <w:pStyle w:val="ListParagraph"/>
        <w:keepNext/>
        <w:keepLines/>
        <w:numPr>
          <w:ilvl w:val="2"/>
          <w:numId w:val="21"/>
        </w:numPr>
        <w:shd w:val="clear" w:color="auto" w:fill="FFFFFF"/>
        <w:spacing w:after="0" w:line="240" w:lineRule="auto"/>
        <w:ind w:left="1080" w:hanging="360"/>
        <w:jc w:val="both"/>
        <w:rPr>
          <w:rFonts w:ascii="Times New Roman" w:hAnsi="Times New Roman"/>
          <w:color w:val="000000"/>
          <w:sz w:val="20"/>
          <w:szCs w:val="20"/>
          <w:lang w:bidi="ar-SA"/>
        </w:rPr>
      </w:pPr>
      <w:r w:rsidRPr="0094738A">
        <w:rPr>
          <w:rFonts w:ascii="Times New Roman" w:hAnsi="Times New Roman"/>
          <w:color w:val="000000"/>
          <w:sz w:val="20"/>
          <w:szCs w:val="20"/>
          <w:lang w:bidi="ar-SA"/>
        </w:rPr>
        <w:t>the supplementary agreement with CCMD in relation to the SSA 1 to amend the SSA 1 (“</w:t>
      </w:r>
      <w:r w:rsidRPr="0094738A">
        <w:rPr>
          <w:rFonts w:ascii="Times New Roman" w:hAnsi="Times New Roman"/>
          <w:b/>
          <w:bCs/>
          <w:color w:val="000000"/>
          <w:sz w:val="20"/>
          <w:szCs w:val="20"/>
          <w:lang w:bidi="ar-SA"/>
        </w:rPr>
        <w:t>Supplementary Agreement 1</w:t>
      </w:r>
      <w:r w:rsidRPr="0094738A">
        <w:rPr>
          <w:rFonts w:ascii="Times New Roman" w:hAnsi="Times New Roman"/>
          <w:color w:val="000000"/>
          <w:sz w:val="20"/>
          <w:szCs w:val="20"/>
          <w:lang w:bidi="ar-SA"/>
        </w:rPr>
        <w:t>”); and</w:t>
      </w:r>
    </w:p>
    <w:p w:rsidR="00E851E9" w:rsidRPr="0094738A" w:rsidRDefault="00E851E9" w:rsidP="00E851E9">
      <w:pPr>
        <w:pStyle w:val="ListParagraph"/>
        <w:shd w:val="clear" w:color="auto" w:fill="FFFFFF"/>
        <w:spacing w:after="0" w:line="240" w:lineRule="auto"/>
        <w:ind w:left="1080"/>
        <w:jc w:val="both"/>
        <w:rPr>
          <w:rFonts w:ascii="Times New Roman" w:hAnsi="Times New Roman"/>
          <w:color w:val="000000"/>
          <w:sz w:val="20"/>
          <w:szCs w:val="20"/>
          <w:lang w:bidi="ar-SA"/>
        </w:rPr>
      </w:pPr>
    </w:p>
    <w:p w:rsidR="00E851E9" w:rsidRPr="0094738A" w:rsidRDefault="00E851E9" w:rsidP="00E851E9">
      <w:pPr>
        <w:pStyle w:val="ListParagraph"/>
        <w:numPr>
          <w:ilvl w:val="2"/>
          <w:numId w:val="21"/>
        </w:numPr>
        <w:shd w:val="clear" w:color="auto" w:fill="FFFFFF"/>
        <w:spacing w:after="0" w:line="240" w:lineRule="auto"/>
        <w:ind w:left="1080" w:hanging="360"/>
        <w:jc w:val="both"/>
        <w:rPr>
          <w:rFonts w:ascii="Times New Roman" w:hAnsi="Times New Roman"/>
          <w:color w:val="000000"/>
          <w:sz w:val="20"/>
          <w:szCs w:val="20"/>
          <w:lang w:bidi="ar-SA"/>
        </w:rPr>
      </w:pPr>
      <w:r w:rsidRPr="0094738A">
        <w:rPr>
          <w:rFonts w:ascii="Times New Roman" w:hAnsi="Times New Roman"/>
          <w:color w:val="000000"/>
          <w:sz w:val="20"/>
          <w:szCs w:val="20"/>
          <w:lang w:bidi="ar-SA"/>
        </w:rPr>
        <w:t>the supplementary agreement with DMSB in relation to the SSA 2 to amend the SSA 2 (“</w:t>
      </w:r>
      <w:r w:rsidRPr="0094738A">
        <w:rPr>
          <w:rFonts w:ascii="Times New Roman" w:hAnsi="Times New Roman"/>
          <w:b/>
          <w:bCs/>
          <w:color w:val="000000"/>
          <w:sz w:val="20"/>
          <w:szCs w:val="20"/>
          <w:lang w:bidi="ar-SA"/>
        </w:rPr>
        <w:t>Supplementary Agreement 2</w:t>
      </w:r>
      <w:r w:rsidRPr="0094738A">
        <w:rPr>
          <w:rFonts w:ascii="Times New Roman" w:hAnsi="Times New Roman"/>
          <w:color w:val="000000"/>
          <w:sz w:val="20"/>
          <w:szCs w:val="20"/>
          <w:lang w:bidi="ar-SA"/>
        </w:rPr>
        <w:t>”).</w:t>
      </w:r>
    </w:p>
    <w:p w:rsidR="00E851E9" w:rsidRPr="0094738A" w:rsidRDefault="00E851E9" w:rsidP="00E851E9">
      <w:pPr>
        <w:pStyle w:val="ListParagraph"/>
        <w:spacing w:after="0" w:line="240" w:lineRule="auto"/>
        <w:rPr>
          <w:rFonts w:ascii="Times New Roman" w:hAnsi="Times New Roman"/>
          <w:color w:val="000000"/>
          <w:sz w:val="20"/>
          <w:szCs w:val="20"/>
          <w:lang w:bidi="ar-SA"/>
        </w:rPr>
      </w:pPr>
    </w:p>
    <w:p w:rsidR="00E851E9" w:rsidRPr="0094738A" w:rsidRDefault="00E851E9" w:rsidP="00E851E9">
      <w:pPr>
        <w:pStyle w:val="ListParagraph"/>
        <w:shd w:val="clear" w:color="auto" w:fill="FFFFFF"/>
        <w:spacing w:after="0" w:line="240" w:lineRule="auto"/>
        <w:jc w:val="both"/>
        <w:rPr>
          <w:rFonts w:ascii="Times New Roman" w:hAnsi="Times New Roman"/>
          <w:color w:val="000000"/>
          <w:sz w:val="20"/>
          <w:szCs w:val="20"/>
          <w:lang w:bidi="ar-SA"/>
        </w:rPr>
      </w:pPr>
      <w:r w:rsidRPr="0094738A">
        <w:rPr>
          <w:rFonts w:ascii="Times New Roman" w:hAnsi="Times New Roman"/>
          <w:color w:val="000000"/>
          <w:sz w:val="20"/>
          <w:szCs w:val="20"/>
          <w:lang w:bidi="ar-SA"/>
        </w:rPr>
        <w:t>The Supplementary Agreement 1 and Supplementary Agreement 2 are collectively referred to as “</w:t>
      </w:r>
      <w:r w:rsidRPr="0094738A">
        <w:rPr>
          <w:rFonts w:ascii="Times New Roman" w:hAnsi="Times New Roman"/>
          <w:b/>
          <w:bCs/>
          <w:color w:val="000000"/>
          <w:sz w:val="20"/>
          <w:szCs w:val="20"/>
          <w:lang w:bidi="ar-SA"/>
        </w:rPr>
        <w:t>Supplementary Agreements</w:t>
      </w:r>
      <w:r w:rsidRPr="0094738A">
        <w:rPr>
          <w:rFonts w:ascii="Times New Roman" w:hAnsi="Times New Roman"/>
          <w:color w:val="000000"/>
          <w:sz w:val="20"/>
          <w:szCs w:val="20"/>
          <w:lang w:bidi="ar-SA"/>
        </w:rPr>
        <w:t xml:space="preserve">”. </w:t>
      </w:r>
    </w:p>
    <w:p w:rsidR="00E851E9" w:rsidRPr="0094738A" w:rsidRDefault="00E851E9" w:rsidP="00E851E9">
      <w:pPr>
        <w:pStyle w:val="ListParagraph"/>
        <w:shd w:val="clear" w:color="auto" w:fill="FFFFFF"/>
        <w:spacing w:after="0" w:line="240" w:lineRule="auto"/>
        <w:ind w:left="1080"/>
        <w:jc w:val="both"/>
        <w:rPr>
          <w:rFonts w:ascii="Times New Roman" w:hAnsi="Times New Roman"/>
          <w:color w:val="000000"/>
          <w:sz w:val="20"/>
          <w:szCs w:val="20"/>
          <w:lang w:bidi="ar-SA"/>
        </w:rPr>
      </w:pPr>
    </w:p>
    <w:p w:rsidR="00E851E9" w:rsidRPr="0094738A" w:rsidRDefault="00E851E9" w:rsidP="00E851E9">
      <w:pPr>
        <w:pStyle w:val="ListParagraph"/>
        <w:shd w:val="clear" w:color="auto" w:fill="FFFFFF"/>
        <w:spacing w:after="0" w:line="240" w:lineRule="auto"/>
        <w:jc w:val="both"/>
        <w:rPr>
          <w:rFonts w:ascii="Times New Roman" w:hAnsi="Times New Roman"/>
          <w:sz w:val="20"/>
          <w:szCs w:val="20"/>
          <w:lang w:bidi="ar-SA"/>
        </w:rPr>
      </w:pPr>
      <w:r w:rsidRPr="0094738A">
        <w:rPr>
          <w:rFonts w:ascii="Times New Roman" w:hAnsi="Times New Roman"/>
          <w:color w:val="000000"/>
          <w:sz w:val="20"/>
          <w:szCs w:val="20"/>
          <w:lang w:bidi="ar-SA"/>
        </w:rPr>
        <w:t>Pursuant to the Supplementary Agreements, the Company had agreed to grant CCMD and DMSB an additional warranty with respect to the potential liability arising from the disclosure in the respective SSAs in relation to the alleged sales tax issues currently being investigated by the Royal Malaysian Customs Department against CCMP and Upha, respectively. The warranty provided is by way of an indemnity (with no maximum limit of such indemnity) for an aggregate liability in excess of RM100,000 to be paid to CCMP and Upha, respectively, and is valid for six (6) years after the date of completion of the SSAs, with a further provision that the Company may take over conduct of any appeal or proceedings in relation to matter giving rise to the aggregate liability.</w:t>
      </w:r>
    </w:p>
    <w:p w:rsidR="00E851E9" w:rsidRPr="0094738A" w:rsidRDefault="00E851E9" w:rsidP="00E851E9">
      <w:pPr>
        <w:spacing w:after="0" w:line="240" w:lineRule="auto"/>
        <w:ind w:left="720" w:right="-7"/>
        <w:rPr>
          <w:rFonts w:ascii="Times New Roman" w:hAnsi="Times New Roman"/>
          <w:sz w:val="20"/>
          <w:szCs w:val="20"/>
          <w:lang w:bidi="ar-SA"/>
        </w:rPr>
      </w:pPr>
    </w:p>
    <w:p w:rsidR="00E851E9" w:rsidRDefault="00E851E9" w:rsidP="00E851E9">
      <w:pPr>
        <w:spacing w:after="0" w:line="240" w:lineRule="auto"/>
        <w:ind w:left="720" w:right="-7"/>
        <w:rPr>
          <w:rFonts w:ascii="Times New Roman" w:hAnsi="Times New Roman"/>
          <w:sz w:val="20"/>
          <w:szCs w:val="20"/>
          <w:lang w:bidi="ar-SA"/>
        </w:rPr>
      </w:pPr>
      <w:r w:rsidRPr="0094738A">
        <w:rPr>
          <w:rFonts w:ascii="Times New Roman" w:hAnsi="Times New Roman"/>
          <w:sz w:val="20"/>
          <w:szCs w:val="20"/>
          <w:lang w:bidi="ar-SA"/>
        </w:rPr>
        <w:t>The proposals are pending fulfilment of conditions precedent for completion including the Company’s EGM scheduled on 10 March 2015 and CCMD’s EGM scheduled 11 March 2015.</w:t>
      </w:r>
    </w:p>
    <w:p w:rsidR="00FF3DFC" w:rsidRDefault="00FF3DFC" w:rsidP="00FF3DFC">
      <w:pPr>
        <w:spacing w:after="0"/>
        <w:ind w:right="-7"/>
        <w:jc w:val="both"/>
        <w:rPr>
          <w:rFonts w:ascii="Times New Roman" w:hAnsi="Times New Roman"/>
          <w:sz w:val="20"/>
          <w:szCs w:val="20"/>
        </w:rPr>
      </w:pPr>
    </w:p>
    <w:p w:rsidR="005F23E4" w:rsidRDefault="005F23E4" w:rsidP="00FF3DFC">
      <w:pPr>
        <w:spacing w:after="0"/>
        <w:ind w:right="-7"/>
        <w:jc w:val="both"/>
        <w:rPr>
          <w:rFonts w:ascii="Times New Roman" w:hAnsi="Times New Roman"/>
          <w:sz w:val="20"/>
          <w:szCs w:val="20"/>
        </w:rPr>
      </w:pPr>
    </w:p>
    <w:p w:rsidR="005F23E4" w:rsidRDefault="005F23E4" w:rsidP="00FF3DFC">
      <w:pPr>
        <w:spacing w:after="0"/>
        <w:ind w:right="-7"/>
        <w:jc w:val="both"/>
        <w:rPr>
          <w:rFonts w:ascii="Times New Roman" w:hAnsi="Times New Roman"/>
          <w:sz w:val="20"/>
          <w:szCs w:val="20"/>
        </w:rPr>
      </w:pPr>
    </w:p>
    <w:p w:rsidR="005F23E4" w:rsidRDefault="005F23E4" w:rsidP="00FF3DFC">
      <w:pPr>
        <w:spacing w:after="0"/>
        <w:ind w:right="-7"/>
        <w:jc w:val="both"/>
        <w:rPr>
          <w:rFonts w:ascii="Times New Roman" w:hAnsi="Times New Roman"/>
          <w:sz w:val="20"/>
          <w:szCs w:val="20"/>
        </w:rPr>
      </w:pPr>
    </w:p>
    <w:p w:rsidR="005F23E4" w:rsidRDefault="005F23E4" w:rsidP="00FF3DFC">
      <w:pPr>
        <w:spacing w:after="0"/>
        <w:ind w:right="-7"/>
        <w:jc w:val="both"/>
        <w:rPr>
          <w:rFonts w:ascii="Times New Roman" w:hAnsi="Times New Roman"/>
          <w:sz w:val="20"/>
          <w:szCs w:val="20"/>
        </w:rPr>
      </w:pPr>
    </w:p>
    <w:p w:rsidR="005F23E4" w:rsidRDefault="005F23E4" w:rsidP="00FF3DFC">
      <w:pPr>
        <w:spacing w:after="0"/>
        <w:ind w:right="-7"/>
        <w:jc w:val="both"/>
        <w:rPr>
          <w:rFonts w:ascii="Times New Roman" w:hAnsi="Times New Roman"/>
          <w:sz w:val="20"/>
          <w:szCs w:val="20"/>
        </w:rPr>
      </w:pPr>
    </w:p>
    <w:p w:rsidR="005F23E4" w:rsidRDefault="005F23E4" w:rsidP="00FF3DFC">
      <w:pPr>
        <w:spacing w:after="0"/>
        <w:ind w:right="-7"/>
        <w:jc w:val="both"/>
        <w:rPr>
          <w:rFonts w:ascii="Times New Roman" w:hAnsi="Times New Roman"/>
          <w:sz w:val="20"/>
          <w:szCs w:val="20"/>
        </w:rPr>
      </w:pPr>
    </w:p>
    <w:p w:rsidR="005F23E4" w:rsidRDefault="005F23E4" w:rsidP="00FF3DFC">
      <w:pPr>
        <w:spacing w:after="0"/>
        <w:ind w:right="-7"/>
        <w:jc w:val="both"/>
        <w:rPr>
          <w:rFonts w:ascii="Times New Roman" w:hAnsi="Times New Roman"/>
          <w:sz w:val="20"/>
          <w:szCs w:val="20"/>
        </w:rPr>
      </w:pPr>
    </w:p>
    <w:p w:rsidR="005F23E4" w:rsidRDefault="005F23E4" w:rsidP="00FF3DFC">
      <w:pPr>
        <w:spacing w:after="0"/>
        <w:ind w:right="-7"/>
        <w:jc w:val="both"/>
        <w:rPr>
          <w:rFonts w:ascii="Times New Roman" w:hAnsi="Times New Roman"/>
          <w:sz w:val="20"/>
          <w:szCs w:val="20"/>
        </w:rPr>
      </w:pPr>
    </w:p>
    <w:p w:rsidR="005F23E4" w:rsidRDefault="005F23E4" w:rsidP="00FF3DFC">
      <w:pPr>
        <w:spacing w:after="0"/>
        <w:ind w:right="-7"/>
        <w:jc w:val="both"/>
        <w:rPr>
          <w:rFonts w:ascii="Times New Roman" w:hAnsi="Times New Roman"/>
          <w:sz w:val="20"/>
          <w:szCs w:val="20"/>
        </w:rPr>
      </w:pPr>
    </w:p>
    <w:p w:rsidR="005F23E4" w:rsidRDefault="005F23E4" w:rsidP="00FF3DFC">
      <w:pPr>
        <w:spacing w:after="0"/>
        <w:ind w:right="-7"/>
        <w:jc w:val="both"/>
        <w:rPr>
          <w:rFonts w:ascii="Times New Roman" w:hAnsi="Times New Roman"/>
          <w:sz w:val="20"/>
          <w:szCs w:val="20"/>
        </w:rPr>
      </w:pPr>
    </w:p>
    <w:p w:rsidR="005F23E4" w:rsidRDefault="005F23E4" w:rsidP="00FF3DFC">
      <w:pPr>
        <w:spacing w:after="0"/>
        <w:ind w:right="-7"/>
        <w:jc w:val="both"/>
        <w:rPr>
          <w:rFonts w:ascii="Times New Roman" w:hAnsi="Times New Roman"/>
          <w:sz w:val="20"/>
          <w:szCs w:val="20"/>
        </w:rPr>
      </w:pPr>
    </w:p>
    <w:p w:rsidR="005F23E4" w:rsidRDefault="005F23E4" w:rsidP="00FF3DFC">
      <w:pPr>
        <w:spacing w:after="0"/>
        <w:ind w:right="-7"/>
        <w:jc w:val="both"/>
        <w:rPr>
          <w:rFonts w:ascii="Times New Roman" w:hAnsi="Times New Roman"/>
          <w:sz w:val="20"/>
          <w:szCs w:val="20"/>
        </w:rPr>
      </w:pPr>
    </w:p>
    <w:p w:rsidR="00E4586B" w:rsidRPr="002C0955" w:rsidRDefault="00E4586B" w:rsidP="003C3572">
      <w:pPr>
        <w:tabs>
          <w:tab w:val="left" w:pos="720"/>
        </w:tabs>
        <w:spacing w:after="0"/>
        <w:ind w:left="720" w:right="-637" w:hanging="630"/>
        <w:jc w:val="both"/>
        <w:rPr>
          <w:rFonts w:ascii="Times New Roman" w:hAnsi="Times New Roman"/>
          <w:b/>
          <w:bCs/>
          <w:sz w:val="20"/>
          <w:szCs w:val="20"/>
        </w:rPr>
      </w:pPr>
      <w:r w:rsidRPr="00402385">
        <w:rPr>
          <w:rFonts w:ascii="Times New Roman" w:hAnsi="Times New Roman"/>
          <w:b/>
          <w:bCs/>
          <w:sz w:val="20"/>
          <w:szCs w:val="20"/>
        </w:rPr>
        <w:t>B</w:t>
      </w:r>
      <w:r w:rsidR="002D54E8" w:rsidRPr="00402385">
        <w:rPr>
          <w:rFonts w:ascii="Times New Roman" w:hAnsi="Times New Roman"/>
          <w:b/>
          <w:bCs/>
          <w:sz w:val="20"/>
          <w:szCs w:val="20"/>
        </w:rPr>
        <w:t>8</w:t>
      </w:r>
      <w:r w:rsidRPr="00402385">
        <w:rPr>
          <w:rFonts w:ascii="Times New Roman" w:hAnsi="Times New Roman"/>
          <w:b/>
          <w:bCs/>
          <w:sz w:val="20"/>
          <w:szCs w:val="20"/>
        </w:rPr>
        <w:t>)</w:t>
      </w:r>
      <w:r w:rsidRPr="00402385">
        <w:rPr>
          <w:rFonts w:ascii="Times New Roman" w:hAnsi="Times New Roman"/>
          <w:b/>
          <w:bCs/>
          <w:sz w:val="20"/>
          <w:szCs w:val="20"/>
        </w:rPr>
        <w:tab/>
      </w:r>
      <w:r w:rsidRPr="002C0955">
        <w:rPr>
          <w:rFonts w:ascii="Times New Roman" w:hAnsi="Times New Roman"/>
          <w:b/>
          <w:bCs/>
          <w:sz w:val="20"/>
          <w:szCs w:val="20"/>
        </w:rPr>
        <w:t>Group Borrowings and Debt Securities</w:t>
      </w:r>
    </w:p>
    <w:p w:rsidR="00E4586B" w:rsidRPr="002C0955" w:rsidRDefault="00E4586B" w:rsidP="00644002">
      <w:pPr>
        <w:spacing w:after="0"/>
        <w:ind w:left="540"/>
        <w:rPr>
          <w:rFonts w:ascii="Times New Roman" w:hAnsi="Times New Roman"/>
          <w:b/>
          <w:bCs/>
          <w:sz w:val="20"/>
          <w:szCs w:val="20"/>
        </w:rPr>
      </w:pPr>
    </w:p>
    <w:p w:rsidR="00E4586B" w:rsidRPr="006A05A0" w:rsidRDefault="00B61F0E" w:rsidP="002A0DB7">
      <w:pPr>
        <w:spacing w:after="0"/>
        <w:ind w:left="540" w:firstLine="180"/>
        <w:rPr>
          <w:rFonts w:ascii="Times New Roman" w:hAnsi="Times New Roman"/>
          <w:sz w:val="20"/>
          <w:szCs w:val="20"/>
        </w:rPr>
      </w:pPr>
      <w:r w:rsidRPr="006A05A0">
        <w:rPr>
          <w:rFonts w:ascii="Times New Roman" w:hAnsi="Times New Roman"/>
          <w:sz w:val="20"/>
          <w:szCs w:val="20"/>
        </w:rPr>
        <w:t>The Group</w:t>
      </w:r>
      <w:r w:rsidR="00155493">
        <w:rPr>
          <w:rFonts w:ascii="Times New Roman" w:hAnsi="Times New Roman"/>
          <w:sz w:val="20"/>
          <w:szCs w:val="20"/>
        </w:rPr>
        <w:t xml:space="preserve"> borrowings as at 31 December </w:t>
      </w:r>
      <w:r w:rsidR="000B0CEC" w:rsidRPr="006A05A0">
        <w:rPr>
          <w:rFonts w:ascii="Times New Roman" w:hAnsi="Times New Roman"/>
          <w:sz w:val="20"/>
          <w:szCs w:val="20"/>
        </w:rPr>
        <w:t>201</w:t>
      </w:r>
      <w:r w:rsidR="00334758">
        <w:rPr>
          <w:rFonts w:ascii="Times New Roman" w:hAnsi="Times New Roman"/>
          <w:sz w:val="20"/>
          <w:szCs w:val="20"/>
        </w:rPr>
        <w:t>4</w:t>
      </w:r>
      <w:r w:rsidR="00E4586B" w:rsidRPr="006A05A0">
        <w:rPr>
          <w:rFonts w:ascii="Times New Roman" w:hAnsi="Times New Roman"/>
          <w:sz w:val="20"/>
          <w:szCs w:val="20"/>
        </w:rPr>
        <w:t xml:space="preserve"> were as follows:</w:t>
      </w:r>
    </w:p>
    <w:p w:rsidR="00E30685" w:rsidRDefault="00E30685" w:rsidP="00E30685">
      <w:pPr>
        <w:tabs>
          <w:tab w:val="left" w:pos="720"/>
        </w:tabs>
        <w:spacing w:after="0"/>
        <w:ind w:left="1350" w:hanging="630"/>
        <w:rPr>
          <w:rFonts w:ascii="Times New Roman" w:hAnsi="Times New Roman"/>
          <w:b/>
          <w:bCs/>
          <w:sz w:val="20"/>
          <w:szCs w:val="20"/>
        </w:rPr>
      </w:pPr>
      <w:r w:rsidRPr="00E30685">
        <w:rPr>
          <w:noProof/>
          <w:szCs w:val="20"/>
          <w:lang w:val="en-MY" w:eastAsia="en-MY" w:bidi="ar-SA"/>
        </w:rPr>
        <w:drawing>
          <wp:inline distT="0" distB="0" distL="0" distR="0">
            <wp:extent cx="5219700" cy="2076450"/>
            <wp:effectExtent l="1905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5219700" cy="2076450"/>
                    </a:xfrm>
                    <a:prstGeom prst="rect">
                      <a:avLst/>
                    </a:prstGeom>
                    <a:noFill/>
                    <a:ln w="9525">
                      <a:noFill/>
                      <a:miter lim="800000"/>
                      <a:headEnd/>
                      <a:tailEnd/>
                    </a:ln>
                  </pic:spPr>
                </pic:pic>
              </a:graphicData>
            </a:graphic>
          </wp:inline>
        </w:drawing>
      </w:r>
    </w:p>
    <w:p w:rsidR="00E30685" w:rsidRDefault="00E30685" w:rsidP="00100D5B">
      <w:pPr>
        <w:tabs>
          <w:tab w:val="left" w:pos="720"/>
        </w:tabs>
        <w:spacing w:after="0"/>
        <w:ind w:left="720" w:hanging="630"/>
        <w:rPr>
          <w:rFonts w:ascii="Times New Roman" w:hAnsi="Times New Roman"/>
          <w:b/>
          <w:bCs/>
          <w:sz w:val="20"/>
          <w:szCs w:val="20"/>
        </w:rPr>
      </w:pPr>
    </w:p>
    <w:p w:rsidR="00100D5B" w:rsidRPr="00644002" w:rsidRDefault="00100D5B" w:rsidP="00876E14">
      <w:pPr>
        <w:tabs>
          <w:tab w:val="left" w:pos="720"/>
        </w:tabs>
        <w:spacing w:after="0"/>
        <w:ind w:left="720" w:hanging="720"/>
        <w:rPr>
          <w:rFonts w:ascii="Times New Roman" w:hAnsi="Times New Roman"/>
          <w:b/>
          <w:bCs/>
          <w:sz w:val="20"/>
          <w:szCs w:val="20"/>
        </w:rPr>
      </w:pPr>
      <w:r w:rsidRPr="006A05A0">
        <w:rPr>
          <w:rFonts w:ascii="Times New Roman" w:hAnsi="Times New Roman"/>
          <w:b/>
          <w:bCs/>
          <w:sz w:val="20"/>
          <w:szCs w:val="20"/>
        </w:rPr>
        <w:t>B9)</w:t>
      </w:r>
      <w:r w:rsidRPr="006A05A0">
        <w:rPr>
          <w:rFonts w:ascii="Times New Roman" w:hAnsi="Times New Roman"/>
          <w:b/>
          <w:bCs/>
          <w:sz w:val="20"/>
          <w:szCs w:val="20"/>
        </w:rPr>
        <w:tab/>
        <w:t>Off Balance Sheet Financial Instruments</w:t>
      </w:r>
    </w:p>
    <w:p w:rsidR="00100D5B" w:rsidRPr="00644002" w:rsidRDefault="00100D5B" w:rsidP="00100D5B">
      <w:pPr>
        <w:spacing w:after="0"/>
        <w:ind w:left="540"/>
        <w:rPr>
          <w:rFonts w:ascii="Times New Roman" w:hAnsi="Times New Roman"/>
          <w:sz w:val="20"/>
          <w:szCs w:val="20"/>
        </w:rPr>
      </w:pPr>
    </w:p>
    <w:p w:rsidR="002E77DF" w:rsidRDefault="00100D5B" w:rsidP="00756B5C">
      <w:pPr>
        <w:spacing w:after="0"/>
        <w:ind w:left="720"/>
        <w:rPr>
          <w:rFonts w:ascii="Times New Roman" w:hAnsi="Times New Roman"/>
          <w:b/>
          <w:bCs/>
          <w:sz w:val="20"/>
          <w:szCs w:val="20"/>
        </w:rPr>
      </w:pPr>
      <w:r w:rsidRPr="009D6E6E">
        <w:rPr>
          <w:rFonts w:ascii="Times New Roman" w:hAnsi="Times New Roman"/>
          <w:sz w:val="20"/>
          <w:szCs w:val="20"/>
        </w:rPr>
        <w:t>The Group did not have any financial instrument</w:t>
      </w:r>
      <w:r w:rsidR="00486EF7" w:rsidRPr="009D6E6E">
        <w:rPr>
          <w:rFonts w:ascii="Times New Roman" w:hAnsi="Times New Roman"/>
          <w:sz w:val="20"/>
          <w:szCs w:val="20"/>
        </w:rPr>
        <w:t>s</w:t>
      </w:r>
      <w:r w:rsidRPr="009D6E6E">
        <w:rPr>
          <w:rFonts w:ascii="Times New Roman" w:hAnsi="Times New Roman"/>
          <w:sz w:val="20"/>
          <w:szCs w:val="20"/>
        </w:rPr>
        <w:t xml:space="preserve"> with off balance sheet risks as at the date of this report.</w:t>
      </w:r>
    </w:p>
    <w:p w:rsidR="002E77DF" w:rsidRDefault="002E77DF" w:rsidP="00B92466">
      <w:pPr>
        <w:tabs>
          <w:tab w:val="left" w:pos="720"/>
        </w:tabs>
        <w:spacing w:after="0"/>
        <w:rPr>
          <w:rFonts w:ascii="Times New Roman" w:hAnsi="Times New Roman"/>
          <w:b/>
          <w:bCs/>
          <w:sz w:val="20"/>
          <w:szCs w:val="20"/>
        </w:rPr>
      </w:pPr>
    </w:p>
    <w:p w:rsidR="008E5A7D" w:rsidRDefault="005A0CFD" w:rsidP="001B4D60">
      <w:pPr>
        <w:tabs>
          <w:tab w:val="left" w:pos="720"/>
        </w:tabs>
        <w:spacing w:after="0"/>
        <w:ind w:left="720" w:hanging="720"/>
        <w:rPr>
          <w:rFonts w:ascii="Times New Roman" w:hAnsi="Times New Roman"/>
          <w:b/>
          <w:bCs/>
          <w:sz w:val="20"/>
          <w:szCs w:val="20"/>
        </w:rPr>
      </w:pPr>
      <w:r w:rsidRPr="00644002">
        <w:rPr>
          <w:rFonts w:ascii="Times New Roman" w:hAnsi="Times New Roman"/>
          <w:b/>
          <w:bCs/>
          <w:sz w:val="20"/>
          <w:szCs w:val="20"/>
        </w:rPr>
        <w:t>B</w:t>
      </w:r>
      <w:r w:rsidR="002D54E8" w:rsidRPr="00644002">
        <w:rPr>
          <w:rFonts w:ascii="Times New Roman" w:hAnsi="Times New Roman"/>
          <w:b/>
          <w:bCs/>
          <w:sz w:val="20"/>
          <w:szCs w:val="20"/>
        </w:rPr>
        <w:t>10</w:t>
      </w:r>
      <w:r w:rsidR="00E4586B" w:rsidRPr="00644002">
        <w:rPr>
          <w:rFonts w:ascii="Times New Roman" w:hAnsi="Times New Roman"/>
          <w:b/>
          <w:bCs/>
          <w:sz w:val="20"/>
          <w:szCs w:val="20"/>
        </w:rPr>
        <w:t>)</w:t>
      </w:r>
      <w:r w:rsidR="002A0DB7">
        <w:rPr>
          <w:rFonts w:ascii="Times New Roman" w:hAnsi="Times New Roman"/>
          <w:b/>
          <w:bCs/>
          <w:sz w:val="20"/>
          <w:szCs w:val="20"/>
        </w:rPr>
        <w:tab/>
      </w:r>
      <w:r w:rsidR="00E4586B" w:rsidRPr="006A05A0">
        <w:rPr>
          <w:rFonts w:ascii="Times New Roman" w:hAnsi="Times New Roman"/>
          <w:b/>
          <w:bCs/>
          <w:sz w:val="20"/>
          <w:szCs w:val="20"/>
        </w:rPr>
        <w:t>Earnings per share</w:t>
      </w:r>
    </w:p>
    <w:p w:rsidR="001B4D60" w:rsidRPr="006A05A0" w:rsidRDefault="00A02B0B" w:rsidP="00644002">
      <w:pPr>
        <w:pStyle w:val="ListParagraph"/>
        <w:spacing w:after="0"/>
        <w:ind w:left="540"/>
        <w:rPr>
          <w:rFonts w:ascii="Times New Roman" w:hAnsi="Times New Roman"/>
          <w:sz w:val="20"/>
          <w:szCs w:val="20"/>
        </w:rPr>
      </w:pPr>
      <w:r w:rsidRPr="00A02B0B">
        <w:rPr>
          <w:noProof/>
          <w:szCs w:val="20"/>
          <w:lang w:val="en-MY" w:eastAsia="en-MY" w:bidi="ar-SA"/>
        </w:rPr>
        <w:drawing>
          <wp:inline distT="0" distB="0" distL="0" distR="0">
            <wp:extent cx="5562600" cy="3190875"/>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5562600" cy="3190875"/>
                    </a:xfrm>
                    <a:prstGeom prst="rect">
                      <a:avLst/>
                    </a:prstGeom>
                    <a:noFill/>
                    <a:ln w="9525">
                      <a:noFill/>
                      <a:miter lim="800000"/>
                      <a:headEnd/>
                      <a:tailEnd/>
                    </a:ln>
                  </pic:spPr>
                </pic:pic>
              </a:graphicData>
            </a:graphic>
          </wp:inline>
        </w:drawing>
      </w:r>
    </w:p>
    <w:p w:rsidR="001B4D60" w:rsidRDefault="001B4D60" w:rsidP="00644002">
      <w:pPr>
        <w:pStyle w:val="ListParagraph"/>
        <w:spacing w:after="0"/>
        <w:ind w:left="540"/>
        <w:rPr>
          <w:rFonts w:ascii="Times New Roman" w:hAnsi="Times New Roman"/>
          <w:sz w:val="20"/>
          <w:szCs w:val="20"/>
        </w:rPr>
      </w:pPr>
    </w:p>
    <w:p w:rsidR="00E851E9" w:rsidRPr="006A05A0" w:rsidRDefault="00E851E9" w:rsidP="00644002">
      <w:pPr>
        <w:pStyle w:val="ListParagraph"/>
        <w:spacing w:after="0"/>
        <w:ind w:left="540"/>
        <w:rPr>
          <w:rFonts w:ascii="Times New Roman" w:hAnsi="Times New Roman"/>
          <w:sz w:val="20"/>
          <w:szCs w:val="20"/>
        </w:rPr>
      </w:pPr>
    </w:p>
    <w:p w:rsidR="001B4D60" w:rsidRPr="006A05A0" w:rsidRDefault="001B4D60" w:rsidP="00644002">
      <w:pPr>
        <w:pStyle w:val="ListParagraph"/>
        <w:spacing w:after="0"/>
        <w:ind w:left="540"/>
        <w:rPr>
          <w:rFonts w:ascii="Times New Roman" w:hAnsi="Times New Roman"/>
          <w:sz w:val="20"/>
          <w:szCs w:val="20"/>
        </w:rPr>
      </w:pPr>
    </w:p>
    <w:p w:rsidR="006B1D06" w:rsidRPr="00644002" w:rsidRDefault="006B1D06" w:rsidP="00EF1265">
      <w:pPr>
        <w:pStyle w:val="ListParagraph"/>
        <w:tabs>
          <w:tab w:val="left" w:pos="720"/>
        </w:tabs>
        <w:spacing w:after="0"/>
        <w:ind w:hanging="720"/>
        <w:rPr>
          <w:rFonts w:ascii="Times New Roman" w:hAnsi="Times New Roman"/>
          <w:b/>
          <w:bCs/>
          <w:sz w:val="20"/>
          <w:szCs w:val="20"/>
        </w:rPr>
      </w:pPr>
      <w:r w:rsidRPr="00644002">
        <w:rPr>
          <w:rFonts w:ascii="Times New Roman" w:hAnsi="Times New Roman"/>
          <w:b/>
          <w:bCs/>
          <w:sz w:val="20"/>
          <w:szCs w:val="20"/>
        </w:rPr>
        <w:t>B11)</w:t>
      </w:r>
      <w:r w:rsidR="00EF1265">
        <w:rPr>
          <w:rFonts w:ascii="Times New Roman" w:hAnsi="Times New Roman"/>
          <w:b/>
          <w:bCs/>
          <w:sz w:val="20"/>
          <w:szCs w:val="20"/>
        </w:rPr>
        <w:tab/>
      </w:r>
      <w:r w:rsidRPr="00644002">
        <w:rPr>
          <w:rFonts w:ascii="Times New Roman" w:hAnsi="Times New Roman"/>
          <w:b/>
          <w:bCs/>
          <w:sz w:val="20"/>
          <w:szCs w:val="20"/>
        </w:rPr>
        <w:t>Dividend</w:t>
      </w:r>
    </w:p>
    <w:p w:rsidR="006B1D06" w:rsidRDefault="006B1D06" w:rsidP="003F0F85">
      <w:pPr>
        <w:pStyle w:val="ListParagraph"/>
        <w:spacing w:after="0"/>
        <w:ind w:left="540"/>
        <w:rPr>
          <w:rFonts w:ascii="Times New Roman" w:hAnsi="Times New Roman"/>
          <w:sz w:val="20"/>
          <w:szCs w:val="20"/>
        </w:rPr>
      </w:pPr>
      <w:r w:rsidRPr="00644002">
        <w:rPr>
          <w:rFonts w:ascii="Times New Roman" w:hAnsi="Times New Roman"/>
          <w:sz w:val="20"/>
          <w:szCs w:val="20"/>
        </w:rPr>
        <w:tab/>
      </w:r>
    </w:p>
    <w:p w:rsidR="003C3572" w:rsidRDefault="00876E14" w:rsidP="004A7ABE">
      <w:pPr>
        <w:pStyle w:val="ListParagraph"/>
        <w:spacing w:line="240" w:lineRule="auto"/>
        <w:jc w:val="both"/>
        <w:rPr>
          <w:rFonts w:ascii="Times New Roman" w:hAnsi="Times New Roman"/>
          <w:sz w:val="20"/>
          <w:szCs w:val="20"/>
        </w:rPr>
      </w:pPr>
      <w:r>
        <w:rPr>
          <w:rFonts w:ascii="Times New Roman" w:hAnsi="Times New Roman"/>
          <w:sz w:val="20"/>
          <w:szCs w:val="20"/>
        </w:rPr>
        <w:t>The Board of Directors had</w:t>
      </w:r>
      <w:r w:rsidR="004718ED" w:rsidRPr="004A7ABE">
        <w:rPr>
          <w:rFonts w:ascii="Times New Roman" w:hAnsi="Times New Roman"/>
          <w:sz w:val="20"/>
          <w:szCs w:val="20"/>
        </w:rPr>
        <w:t xml:space="preserve"> approved an interim single tier dividend of 2.</w:t>
      </w:r>
      <w:r w:rsidR="002679F9">
        <w:rPr>
          <w:rFonts w:ascii="Times New Roman" w:hAnsi="Times New Roman"/>
          <w:sz w:val="20"/>
          <w:szCs w:val="20"/>
        </w:rPr>
        <w:t>50</w:t>
      </w:r>
      <w:r w:rsidR="004718ED" w:rsidRPr="004A7ABE">
        <w:rPr>
          <w:rFonts w:ascii="Times New Roman" w:hAnsi="Times New Roman"/>
          <w:sz w:val="20"/>
          <w:szCs w:val="20"/>
        </w:rPr>
        <w:t>sen per share (2013:2.</w:t>
      </w:r>
      <w:r w:rsidR="002679F9">
        <w:rPr>
          <w:rFonts w:ascii="Times New Roman" w:hAnsi="Times New Roman"/>
          <w:sz w:val="20"/>
          <w:szCs w:val="20"/>
        </w:rPr>
        <w:t>15</w:t>
      </w:r>
      <w:r w:rsidR="004718ED" w:rsidRPr="004A7ABE">
        <w:rPr>
          <w:rFonts w:ascii="Times New Roman" w:hAnsi="Times New Roman"/>
          <w:sz w:val="20"/>
          <w:szCs w:val="20"/>
        </w:rPr>
        <w:t>sen per share) based on paid up capital of 457.6 million shares at par value of RM1.00 each amounting to appro</w:t>
      </w:r>
      <w:r w:rsidR="002679F9">
        <w:rPr>
          <w:rFonts w:ascii="Times New Roman" w:hAnsi="Times New Roman"/>
          <w:sz w:val="20"/>
          <w:szCs w:val="20"/>
        </w:rPr>
        <w:t>ximately RM11.4</w:t>
      </w:r>
      <w:r w:rsidR="002C0955" w:rsidRPr="004A7ABE">
        <w:rPr>
          <w:rFonts w:ascii="Times New Roman" w:hAnsi="Times New Roman"/>
          <w:sz w:val="20"/>
          <w:szCs w:val="20"/>
        </w:rPr>
        <w:t xml:space="preserve"> million. The </w:t>
      </w:r>
      <w:r w:rsidR="00E01D34" w:rsidRPr="004A7ABE">
        <w:rPr>
          <w:rFonts w:ascii="Times New Roman" w:hAnsi="Times New Roman"/>
          <w:sz w:val="20"/>
          <w:szCs w:val="20"/>
        </w:rPr>
        <w:t>entitlement date</w:t>
      </w:r>
      <w:r w:rsidR="002C0955" w:rsidRPr="004A7ABE">
        <w:rPr>
          <w:rFonts w:ascii="Times New Roman" w:hAnsi="Times New Roman"/>
          <w:sz w:val="20"/>
          <w:szCs w:val="20"/>
        </w:rPr>
        <w:t xml:space="preserve"> in respect of the interim</w:t>
      </w:r>
      <w:r w:rsidR="004718ED" w:rsidRPr="004A7ABE">
        <w:rPr>
          <w:rFonts w:ascii="Times New Roman" w:hAnsi="Times New Roman"/>
          <w:sz w:val="20"/>
          <w:szCs w:val="20"/>
        </w:rPr>
        <w:t xml:space="preserve"> single tier dividend </w:t>
      </w:r>
      <w:r>
        <w:rPr>
          <w:rFonts w:ascii="Times New Roman" w:hAnsi="Times New Roman"/>
          <w:sz w:val="20"/>
          <w:szCs w:val="20"/>
        </w:rPr>
        <w:t>was</w:t>
      </w:r>
      <w:r w:rsidR="004718ED" w:rsidRPr="004A7ABE">
        <w:rPr>
          <w:rFonts w:ascii="Times New Roman" w:hAnsi="Times New Roman"/>
          <w:sz w:val="20"/>
          <w:szCs w:val="20"/>
        </w:rPr>
        <w:t xml:space="preserve"> on </w:t>
      </w:r>
      <w:r w:rsidR="004A7ABE">
        <w:rPr>
          <w:rFonts w:ascii="Times New Roman" w:hAnsi="Times New Roman"/>
          <w:sz w:val="20"/>
          <w:szCs w:val="20"/>
        </w:rPr>
        <w:t xml:space="preserve">31 December 2014 and the payment </w:t>
      </w:r>
      <w:r w:rsidR="00373D5E">
        <w:rPr>
          <w:rFonts w:ascii="Times New Roman" w:hAnsi="Times New Roman"/>
          <w:sz w:val="20"/>
          <w:szCs w:val="20"/>
        </w:rPr>
        <w:t>was made</w:t>
      </w:r>
      <w:r w:rsidR="004A7ABE">
        <w:rPr>
          <w:rFonts w:ascii="Times New Roman" w:hAnsi="Times New Roman"/>
          <w:sz w:val="20"/>
          <w:szCs w:val="20"/>
        </w:rPr>
        <w:t xml:space="preserve"> on 15 January 2015.</w:t>
      </w:r>
    </w:p>
    <w:p w:rsidR="007A69DA" w:rsidRDefault="007A69DA" w:rsidP="004A7ABE">
      <w:pPr>
        <w:pStyle w:val="ListParagraph"/>
        <w:spacing w:line="240" w:lineRule="auto"/>
        <w:jc w:val="both"/>
        <w:rPr>
          <w:rFonts w:ascii="Times New Roman" w:hAnsi="Times New Roman"/>
          <w:sz w:val="20"/>
          <w:szCs w:val="20"/>
        </w:rPr>
      </w:pPr>
    </w:p>
    <w:p w:rsidR="00F316D9" w:rsidRPr="006A05A0" w:rsidRDefault="00F316D9" w:rsidP="00F316D9">
      <w:pPr>
        <w:pStyle w:val="qq"/>
        <w:tabs>
          <w:tab w:val="clear" w:pos="5580"/>
          <w:tab w:val="clear" w:pos="7280"/>
          <w:tab w:val="clear" w:pos="8820"/>
          <w:tab w:val="decimal" w:pos="5490"/>
          <w:tab w:val="decimal" w:pos="6660"/>
          <w:tab w:val="decimal" w:pos="7830"/>
          <w:tab w:val="decimal" w:pos="9000"/>
        </w:tabs>
        <w:spacing w:after="0" w:line="240" w:lineRule="auto"/>
        <w:ind w:left="720" w:right="-592" w:hanging="720"/>
        <w:rPr>
          <w:rFonts w:ascii="Times New Roman" w:hAnsi="Times New Roman"/>
          <w:b/>
          <w:bCs/>
          <w:sz w:val="20"/>
          <w:szCs w:val="20"/>
        </w:rPr>
      </w:pPr>
      <w:r w:rsidRPr="00B745EA">
        <w:rPr>
          <w:rFonts w:ascii="Times New Roman" w:eastAsia="Times New Roman" w:hAnsi="Times New Roman"/>
          <w:b/>
          <w:bCs/>
          <w:sz w:val="20"/>
          <w:szCs w:val="20"/>
        </w:rPr>
        <w:t>B12)</w:t>
      </w:r>
      <w:r>
        <w:rPr>
          <w:rFonts w:ascii="Times New Roman" w:eastAsia="Times New Roman" w:hAnsi="Times New Roman"/>
          <w:b/>
          <w:bCs/>
          <w:sz w:val="20"/>
          <w:szCs w:val="20"/>
        </w:rPr>
        <w:tab/>
      </w:r>
      <w:r w:rsidRPr="006A05A0">
        <w:rPr>
          <w:rFonts w:ascii="Times New Roman" w:eastAsia="Times New Roman" w:hAnsi="Times New Roman"/>
          <w:b/>
          <w:bCs/>
          <w:sz w:val="20"/>
          <w:szCs w:val="20"/>
        </w:rPr>
        <w:t>Economic Profit (“EP”) Statement</w:t>
      </w:r>
    </w:p>
    <w:p w:rsidR="00F316D9" w:rsidRDefault="00F316D9" w:rsidP="006B6463">
      <w:pPr>
        <w:pStyle w:val="ListParagraph"/>
        <w:spacing w:after="0"/>
        <w:rPr>
          <w:szCs w:val="20"/>
        </w:rPr>
      </w:pPr>
    </w:p>
    <w:p w:rsidR="00AF3CBC" w:rsidRPr="00283F1D" w:rsidRDefault="0076314D" w:rsidP="006B6463">
      <w:pPr>
        <w:pStyle w:val="ListParagraph"/>
        <w:spacing w:after="0"/>
        <w:rPr>
          <w:rFonts w:ascii="Times New Roman" w:hAnsi="Times New Roman"/>
          <w:b/>
          <w:bCs/>
          <w:sz w:val="20"/>
          <w:szCs w:val="20"/>
        </w:rPr>
      </w:pPr>
      <w:r w:rsidRPr="0076314D">
        <w:rPr>
          <w:noProof/>
          <w:szCs w:val="20"/>
          <w:lang w:val="en-MY" w:eastAsia="en-MY" w:bidi="ar-SA"/>
        </w:rPr>
        <w:drawing>
          <wp:inline distT="0" distB="0" distL="0" distR="0">
            <wp:extent cx="5695950" cy="2581275"/>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5695950" cy="2581275"/>
                    </a:xfrm>
                    <a:prstGeom prst="rect">
                      <a:avLst/>
                    </a:prstGeom>
                    <a:noFill/>
                    <a:ln w="9525">
                      <a:noFill/>
                      <a:miter lim="800000"/>
                      <a:headEnd/>
                      <a:tailEnd/>
                    </a:ln>
                  </pic:spPr>
                </pic:pic>
              </a:graphicData>
            </a:graphic>
          </wp:inline>
        </w:drawing>
      </w:r>
    </w:p>
    <w:p w:rsidR="006B6463" w:rsidRDefault="006B6463" w:rsidP="002E77DF">
      <w:pPr>
        <w:spacing w:after="0"/>
        <w:ind w:left="720"/>
        <w:jc w:val="both"/>
        <w:rPr>
          <w:rFonts w:ascii="Times New Roman" w:hAnsi="Times New Roman"/>
          <w:sz w:val="20"/>
          <w:szCs w:val="20"/>
        </w:rPr>
      </w:pPr>
    </w:p>
    <w:p w:rsidR="00E4586B" w:rsidRPr="002E77DF" w:rsidRDefault="00E4586B" w:rsidP="002E77DF">
      <w:pPr>
        <w:spacing w:after="0"/>
        <w:ind w:left="720"/>
        <w:jc w:val="both"/>
        <w:rPr>
          <w:rFonts w:ascii="Times New Roman" w:hAnsi="Times New Roman"/>
          <w:sz w:val="20"/>
          <w:szCs w:val="20"/>
        </w:rPr>
      </w:pPr>
      <w:r w:rsidRPr="002E77DF">
        <w:rPr>
          <w:rFonts w:ascii="Times New Roman" w:hAnsi="Times New Roman"/>
          <w:sz w:val="20"/>
          <w:szCs w:val="20"/>
        </w:rPr>
        <w:t xml:space="preserve">The EP statement is as prescribed under the Government-Linked Corporations (GLC) Transformation program, and is disclosed on a voluntary basis. EP measures the value created by a business during a single period reflecting how much return a business makes over its cost of capital. </w:t>
      </w:r>
    </w:p>
    <w:p w:rsidR="001F4973" w:rsidRDefault="001F4973" w:rsidP="000A0008">
      <w:pPr>
        <w:widowControl w:val="0"/>
        <w:autoSpaceDE w:val="0"/>
        <w:autoSpaceDN w:val="0"/>
        <w:adjustRightInd w:val="0"/>
        <w:spacing w:after="0" w:line="280" w:lineRule="exact"/>
        <w:rPr>
          <w:rFonts w:ascii="Times New Roman" w:hAnsi="Times New Roman"/>
          <w:b/>
          <w:bCs/>
          <w:color w:val="000000"/>
          <w:sz w:val="20"/>
          <w:szCs w:val="20"/>
        </w:rPr>
      </w:pPr>
    </w:p>
    <w:p w:rsidR="00100D5B" w:rsidRDefault="00100D5B" w:rsidP="00100D5B">
      <w:pPr>
        <w:widowControl w:val="0"/>
        <w:tabs>
          <w:tab w:val="left" w:pos="720"/>
        </w:tabs>
        <w:autoSpaceDE w:val="0"/>
        <w:autoSpaceDN w:val="0"/>
        <w:adjustRightInd w:val="0"/>
        <w:spacing w:after="0" w:line="280" w:lineRule="exact"/>
        <w:ind w:left="720" w:hanging="720"/>
        <w:rPr>
          <w:rFonts w:ascii="Times New Roman" w:hAnsi="Times New Roman"/>
          <w:b/>
          <w:bCs/>
          <w:sz w:val="20"/>
          <w:szCs w:val="20"/>
        </w:rPr>
      </w:pPr>
      <w:r w:rsidRPr="00644002">
        <w:rPr>
          <w:rFonts w:ascii="Times New Roman" w:hAnsi="Times New Roman"/>
          <w:b/>
          <w:bCs/>
          <w:color w:val="000000"/>
          <w:sz w:val="20"/>
          <w:szCs w:val="20"/>
        </w:rPr>
        <w:t>B13)</w:t>
      </w:r>
      <w:r w:rsidRPr="00A60411">
        <w:rPr>
          <w:rFonts w:ascii="Times New Roman" w:hAnsi="Times New Roman"/>
          <w:b/>
          <w:bCs/>
          <w:color w:val="000000"/>
          <w:sz w:val="20"/>
          <w:szCs w:val="20"/>
        </w:rPr>
        <w:tab/>
      </w:r>
      <w:r w:rsidRPr="00A60411">
        <w:rPr>
          <w:rFonts w:ascii="Times New Roman" w:hAnsi="Times New Roman"/>
          <w:b/>
          <w:bCs/>
          <w:sz w:val="20"/>
          <w:szCs w:val="20"/>
        </w:rPr>
        <w:t>Material litigation</w:t>
      </w:r>
    </w:p>
    <w:p w:rsidR="00116F3F" w:rsidRPr="00A60411" w:rsidRDefault="00116F3F" w:rsidP="00100D5B">
      <w:pPr>
        <w:widowControl w:val="0"/>
        <w:tabs>
          <w:tab w:val="left" w:pos="720"/>
        </w:tabs>
        <w:autoSpaceDE w:val="0"/>
        <w:autoSpaceDN w:val="0"/>
        <w:adjustRightInd w:val="0"/>
        <w:spacing w:after="0" w:line="280" w:lineRule="exact"/>
        <w:ind w:left="720" w:hanging="720"/>
        <w:rPr>
          <w:rFonts w:ascii="Times New Roman" w:hAnsi="Times New Roman"/>
          <w:sz w:val="20"/>
          <w:szCs w:val="20"/>
        </w:rPr>
      </w:pPr>
    </w:p>
    <w:p w:rsidR="0017604E" w:rsidRDefault="0017604E" w:rsidP="0017604E">
      <w:pPr>
        <w:widowControl w:val="0"/>
        <w:autoSpaceDE w:val="0"/>
        <w:autoSpaceDN w:val="0"/>
        <w:adjustRightInd w:val="0"/>
        <w:spacing w:after="0"/>
        <w:ind w:left="720"/>
        <w:jc w:val="both"/>
        <w:rPr>
          <w:rFonts w:ascii="Times New Roman" w:hAnsi="Times New Roman"/>
          <w:iCs/>
          <w:sz w:val="20"/>
          <w:szCs w:val="20"/>
          <w:lang w:val="en-US" w:bidi="ar-SA"/>
        </w:rPr>
      </w:pPr>
      <w:r>
        <w:rPr>
          <w:rFonts w:ascii="Times New Roman" w:hAnsi="Times New Roman"/>
          <w:iCs/>
          <w:sz w:val="20"/>
          <w:szCs w:val="20"/>
          <w:lang w:val="en-US" w:bidi="ar-SA"/>
        </w:rPr>
        <w:t>There was no material litigation against the Group as at the end of period under review.</w:t>
      </w:r>
    </w:p>
    <w:p w:rsidR="00100D5B" w:rsidRDefault="00100D5B" w:rsidP="00100D5B">
      <w:pPr>
        <w:widowControl w:val="0"/>
        <w:autoSpaceDE w:val="0"/>
        <w:autoSpaceDN w:val="0"/>
        <w:adjustRightInd w:val="0"/>
        <w:spacing w:after="0" w:line="280" w:lineRule="exact"/>
        <w:ind w:left="540"/>
        <w:rPr>
          <w:rFonts w:ascii="Times New Roman" w:hAnsi="Times New Roman"/>
          <w:sz w:val="20"/>
          <w:szCs w:val="20"/>
        </w:rPr>
      </w:pPr>
    </w:p>
    <w:p w:rsidR="00195469" w:rsidRDefault="00195469" w:rsidP="00100D5B">
      <w:pPr>
        <w:widowControl w:val="0"/>
        <w:autoSpaceDE w:val="0"/>
        <w:autoSpaceDN w:val="0"/>
        <w:adjustRightInd w:val="0"/>
        <w:spacing w:after="0" w:line="280" w:lineRule="exact"/>
        <w:ind w:left="540"/>
        <w:rPr>
          <w:rFonts w:ascii="Times New Roman" w:hAnsi="Times New Roman"/>
          <w:sz w:val="20"/>
          <w:szCs w:val="20"/>
        </w:rPr>
      </w:pPr>
    </w:p>
    <w:p w:rsidR="00195469" w:rsidRDefault="00195469" w:rsidP="00100D5B">
      <w:pPr>
        <w:widowControl w:val="0"/>
        <w:autoSpaceDE w:val="0"/>
        <w:autoSpaceDN w:val="0"/>
        <w:adjustRightInd w:val="0"/>
        <w:spacing w:after="0" w:line="280" w:lineRule="exact"/>
        <w:ind w:left="540"/>
        <w:rPr>
          <w:rFonts w:ascii="Times New Roman" w:hAnsi="Times New Roman"/>
          <w:sz w:val="20"/>
          <w:szCs w:val="20"/>
        </w:rPr>
      </w:pPr>
    </w:p>
    <w:p w:rsidR="00195469" w:rsidRDefault="00195469" w:rsidP="00100D5B">
      <w:pPr>
        <w:widowControl w:val="0"/>
        <w:autoSpaceDE w:val="0"/>
        <w:autoSpaceDN w:val="0"/>
        <w:adjustRightInd w:val="0"/>
        <w:spacing w:after="0" w:line="280" w:lineRule="exact"/>
        <w:ind w:left="540"/>
        <w:rPr>
          <w:rFonts w:ascii="Times New Roman" w:hAnsi="Times New Roman"/>
          <w:sz w:val="20"/>
          <w:szCs w:val="20"/>
        </w:rPr>
      </w:pPr>
    </w:p>
    <w:p w:rsidR="00195469" w:rsidRDefault="00195469" w:rsidP="00100D5B">
      <w:pPr>
        <w:widowControl w:val="0"/>
        <w:autoSpaceDE w:val="0"/>
        <w:autoSpaceDN w:val="0"/>
        <w:adjustRightInd w:val="0"/>
        <w:spacing w:after="0" w:line="280" w:lineRule="exact"/>
        <w:ind w:left="540"/>
        <w:rPr>
          <w:rFonts w:ascii="Times New Roman" w:hAnsi="Times New Roman"/>
          <w:sz w:val="20"/>
          <w:szCs w:val="20"/>
        </w:rPr>
      </w:pPr>
    </w:p>
    <w:p w:rsidR="00195469" w:rsidRDefault="00195469" w:rsidP="00100D5B">
      <w:pPr>
        <w:widowControl w:val="0"/>
        <w:autoSpaceDE w:val="0"/>
        <w:autoSpaceDN w:val="0"/>
        <w:adjustRightInd w:val="0"/>
        <w:spacing w:after="0" w:line="280" w:lineRule="exact"/>
        <w:ind w:left="540"/>
        <w:rPr>
          <w:rFonts w:ascii="Times New Roman" w:hAnsi="Times New Roman"/>
          <w:sz w:val="20"/>
          <w:szCs w:val="20"/>
        </w:rPr>
      </w:pPr>
    </w:p>
    <w:p w:rsidR="00195469" w:rsidRDefault="00195469" w:rsidP="00100D5B">
      <w:pPr>
        <w:widowControl w:val="0"/>
        <w:autoSpaceDE w:val="0"/>
        <w:autoSpaceDN w:val="0"/>
        <w:adjustRightInd w:val="0"/>
        <w:spacing w:after="0" w:line="280" w:lineRule="exact"/>
        <w:ind w:left="540"/>
        <w:rPr>
          <w:rFonts w:ascii="Times New Roman" w:hAnsi="Times New Roman"/>
          <w:sz w:val="20"/>
          <w:szCs w:val="20"/>
        </w:rPr>
      </w:pPr>
    </w:p>
    <w:p w:rsidR="00195469" w:rsidRDefault="00195469" w:rsidP="00100D5B">
      <w:pPr>
        <w:widowControl w:val="0"/>
        <w:autoSpaceDE w:val="0"/>
        <w:autoSpaceDN w:val="0"/>
        <w:adjustRightInd w:val="0"/>
        <w:spacing w:after="0" w:line="280" w:lineRule="exact"/>
        <w:ind w:left="540"/>
        <w:rPr>
          <w:rFonts w:ascii="Times New Roman" w:hAnsi="Times New Roman"/>
          <w:sz w:val="20"/>
          <w:szCs w:val="20"/>
        </w:rPr>
      </w:pPr>
    </w:p>
    <w:p w:rsidR="00195469" w:rsidRDefault="00195469" w:rsidP="00100D5B">
      <w:pPr>
        <w:widowControl w:val="0"/>
        <w:autoSpaceDE w:val="0"/>
        <w:autoSpaceDN w:val="0"/>
        <w:adjustRightInd w:val="0"/>
        <w:spacing w:after="0" w:line="280" w:lineRule="exact"/>
        <w:ind w:left="540"/>
        <w:rPr>
          <w:rFonts w:ascii="Times New Roman" w:hAnsi="Times New Roman"/>
          <w:sz w:val="20"/>
          <w:szCs w:val="20"/>
        </w:rPr>
      </w:pPr>
    </w:p>
    <w:p w:rsidR="00195469" w:rsidRDefault="00195469" w:rsidP="00100D5B">
      <w:pPr>
        <w:widowControl w:val="0"/>
        <w:autoSpaceDE w:val="0"/>
        <w:autoSpaceDN w:val="0"/>
        <w:adjustRightInd w:val="0"/>
        <w:spacing w:after="0" w:line="280" w:lineRule="exact"/>
        <w:ind w:left="540"/>
        <w:rPr>
          <w:rFonts w:ascii="Times New Roman" w:hAnsi="Times New Roman"/>
          <w:sz w:val="20"/>
          <w:szCs w:val="20"/>
        </w:rPr>
      </w:pPr>
    </w:p>
    <w:p w:rsidR="00100D5B" w:rsidRDefault="00100D5B" w:rsidP="00100D5B">
      <w:pPr>
        <w:widowControl w:val="0"/>
        <w:tabs>
          <w:tab w:val="left" w:pos="720"/>
        </w:tabs>
        <w:autoSpaceDE w:val="0"/>
        <w:autoSpaceDN w:val="0"/>
        <w:adjustRightInd w:val="0"/>
        <w:spacing w:after="0" w:line="280" w:lineRule="exact"/>
        <w:ind w:left="720" w:hanging="720"/>
        <w:rPr>
          <w:rFonts w:ascii="Times New Roman" w:hAnsi="Times New Roman"/>
          <w:b/>
          <w:bCs/>
          <w:color w:val="000000"/>
          <w:sz w:val="20"/>
          <w:szCs w:val="20"/>
        </w:rPr>
      </w:pPr>
      <w:r w:rsidRPr="00A60411">
        <w:rPr>
          <w:rFonts w:ascii="Times New Roman" w:hAnsi="Times New Roman"/>
          <w:b/>
          <w:bCs/>
          <w:color w:val="000000"/>
          <w:sz w:val="20"/>
          <w:szCs w:val="20"/>
        </w:rPr>
        <w:t>B14)</w:t>
      </w:r>
      <w:r w:rsidRPr="00A60411">
        <w:rPr>
          <w:rFonts w:ascii="Times New Roman" w:hAnsi="Times New Roman"/>
          <w:b/>
          <w:bCs/>
          <w:color w:val="000000"/>
          <w:sz w:val="20"/>
          <w:szCs w:val="20"/>
        </w:rPr>
        <w:tab/>
      </w:r>
      <w:r w:rsidRPr="001B3E80">
        <w:rPr>
          <w:rFonts w:ascii="Times New Roman" w:hAnsi="Times New Roman"/>
          <w:b/>
          <w:bCs/>
          <w:color w:val="000000"/>
          <w:sz w:val="20"/>
          <w:szCs w:val="20"/>
        </w:rPr>
        <w:t>Disclosure of Realised and Unrealised</w:t>
      </w:r>
    </w:p>
    <w:p w:rsidR="007A69DA" w:rsidRDefault="007A69DA" w:rsidP="00644002">
      <w:pPr>
        <w:widowControl w:val="0"/>
        <w:autoSpaceDE w:val="0"/>
        <w:autoSpaceDN w:val="0"/>
        <w:adjustRightInd w:val="0"/>
        <w:spacing w:after="0" w:line="280" w:lineRule="exact"/>
        <w:ind w:left="540"/>
        <w:rPr>
          <w:rFonts w:ascii="Times New Roman" w:hAnsi="Times New Roman"/>
          <w:b/>
          <w:bCs/>
          <w:color w:val="000000"/>
          <w:sz w:val="20"/>
          <w:szCs w:val="20"/>
        </w:rPr>
      </w:pPr>
    </w:p>
    <w:p w:rsidR="00195469" w:rsidRDefault="0076314D" w:rsidP="00195469">
      <w:r w:rsidRPr="0076314D">
        <w:rPr>
          <w:noProof/>
          <w:lang w:val="en-MY" w:eastAsia="en-MY" w:bidi="ar-SA"/>
        </w:rPr>
        <w:drawing>
          <wp:inline distT="0" distB="0" distL="0" distR="0">
            <wp:extent cx="5676900" cy="154305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5676900" cy="1543050"/>
                    </a:xfrm>
                    <a:prstGeom prst="rect">
                      <a:avLst/>
                    </a:prstGeom>
                    <a:noFill/>
                    <a:ln w="9525">
                      <a:noFill/>
                      <a:miter lim="800000"/>
                      <a:headEnd/>
                      <a:tailEnd/>
                    </a:ln>
                  </pic:spPr>
                </pic:pic>
              </a:graphicData>
            </a:graphic>
          </wp:inline>
        </w:drawing>
      </w:r>
    </w:p>
    <w:p w:rsidR="00500AAF" w:rsidRPr="00644002" w:rsidRDefault="00500AAF" w:rsidP="00644002">
      <w:pPr>
        <w:widowControl w:val="0"/>
        <w:autoSpaceDE w:val="0"/>
        <w:autoSpaceDN w:val="0"/>
        <w:adjustRightInd w:val="0"/>
        <w:spacing w:after="0" w:line="280" w:lineRule="exact"/>
        <w:ind w:left="540"/>
        <w:rPr>
          <w:rFonts w:ascii="Times New Roman" w:hAnsi="Times New Roman"/>
          <w:b/>
          <w:bCs/>
          <w:color w:val="000000"/>
          <w:sz w:val="20"/>
          <w:szCs w:val="20"/>
        </w:rPr>
      </w:pPr>
      <w:r w:rsidRPr="00500AAF">
        <w:rPr>
          <w:rFonts w:ascii="Times New Roman" w:hAnsi="Times New Roman"/>
          <w:b/>
          <w:bCs/>
          <w:noProof/>
          <w:color w:val="000000"/>
          <w:sz w:val="20"/>
          <w:szCs w:val="20"/>
          <w:lang w:val="en-MY" w:eastAsia="en-MY" w:bidi="ar-SA"/>
        </w:rPr>
        <w:drawing>
          <wp:inline distT="0" distB="0" distL="0" distR="0">
            <wp:extent cx="5676900" cy="1714500"/>
            <wp:effectExtent l="0" t="0" r="0" b="0"/>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5676900" cy="1714500"/>
                    </a:xfrm>
                    <a:prstGeom prst="rect">
                      <a:avLst/>
                    </a:prstGeom>
                    <a:noFill/>
                    <a:ln w="9525">
                      <a:noFill/>
                      <a:miter lim="800000"/>
                      <a:headEnd/>
                      <a:tailEnd/>
                    </a:ln>
                  </pic:spPr>
                </pic:pic>
              </a:graphicData>
            </a:graphic>
          </wp:inline>
        </w:drawing>
      </w:r>
    </w:p>
    <w:p w:rsidR="00E4586B" w:rsidRPr="00644002" w:rsidRDefault="00E4586B" w:rsidP="00EF1265">
      <w:pPr>
        <w:pStyle w:val="ListParagraph"/>
        <w:widowControl w:val="0"/>
        <w:tabs>
          <w:tab w:val="left" w:pos="720"/>
        </w:tabs>
        <w:autoSpaceDE w:val="0"/>
        <w:autoSpaceDN w:val="0"/>
        <w:adjustRightInd w:val="0"/>
        <w:spacing w:after="0" w:line="280" w:lineRule="exact"/>
        <w:ind w:hanging="720"/>
        <w:rPr>
          <w:rFonts w:ascii="Times New Roman" w:hAnsi="Times New Roman"/>
          <w:b/>
          <w:bCs/>
          <w:color w:val="000000"/>
          <w:sz w:val="20"/>
          <w:szCs w:val="20"/>
        </w:rPr>
      </w:pPr>
      <w:r w:rsidRPr="00644002">
        <w:rPr>
          <w:rFonts w:ascii="Times New Roman" w:hAnsi="Times New Roman"/>
          <w:b/>
          <w:bCs/>
          <w:color w:val="000000"/>
          <w:sz w:val="20"/>
          <w:szCs w:val="20"/>
        </w:rPr>
        <w:t>B1</w:t>
      </w:r>
      <w:r w:rsidR="002D54E8" w:rsidRPr="00644002">
        <w:rPr>
          <w:rFonts w:ascii="Times New Roman" w:hAnsi="Times New Roman"/>
          <w:b/>
          <w:bCs/>
          <w:color w:val="000000"/>
          <w:sz w:val="20"/>
          <w:szCs w:val="20"/>
        </w:rPr>
        <w:t>5</w:t>
      </w:r>
      <w:r w:rsidRPr="00644002">
        <w:rPr>
          <w:rFonts w:ascii="Times New Roman" w:hAnsi="Times New Roman"/>
          <w:b/>
          <w:bCs/>
          <w:color w:val="000000"/>
          <w:sz w:val="20"/>
          <w:szCs w:val="20"/>
        </w:rPr>
        <w:t>)</w:t>
      </w:r>
      <w:r w:rsidR="00EF1265">
        <w:rPr>
          <w:rFonts w:ascii="Times New Roman" w:hAnsi="Times New Roman"/>
          <w:b/>
          <w:bCs/>
          <w:color w:val="000000"/>
          <w:sz w:val="20"/>
          <w:szCs w:val="20"/>
        </w:rPr>
        <w:tab/>
      </w:r>
      <w:r w:rsidRPr="00644002">
        <w:rPr>
          <w:rFonts w:ascii="Times New Roman" w:hAnsi="Times New Roman"/>
          <w:b/>
          <w:bCs/>
          <w:color w:val="000000"/>
          <w:sz w:val="20"/>
          <w:szCs w:val="20"/>
        </w:rPr>
        <w:t>Authorisation for issue</w:t>
      </w:r>
    </w:p>
    <w:p w:rsidR="00E11F34" w:rsidRPr="00644002" w:rsidRDefault="00E11F34" w:rsidP="00644002">
      <w:pPr>
        <w:pStyle w:val="ListParagraph"/>
        <w:widowControl w:val="0"/>
        <w:autoSpaceDE w:val="0"/>
        <w:autoSpaceDN w:val="0"/>
        <w:adjustRightInd w:val="0"/>
        <w:spacing w:after="0" w:line="280" w:lineRule="exact"/>
        <w:ind w:left="180"/>
        <w:rPr>
          <w:rFonts w:ascii="Times New Roman" w:hAnsi="Times New Roman"/>
          <w:color w:val="000000"/>
          <w:sz w:val="20"/>
          <w:szCs w:val="20"/>
        </w:rPr>
      </w:pPr>
    </w:p>
    <w:p w:rsidR="00E4586B" w:rsidRPr="00644002" w:rsidRDefault="00E4586B" w:rsidP="00EF1265">
      <w:pPr>
        <w:pStyle w:val="ListParagraph"/>
        <w:widowControl w:val="0"/>
        <w:autoSpaceDE w:val="0"/>
        <w:autoSpaceDN w:val="0"/>
        <w:adjustRightInd w:val="0"/>
        <w:spacing w:after="0" w:line="280" w:lineRule="exact"/>
        <w:rPr>
          <w:rFonts w:ascii="Times New Roman" w:hAnsi="Times New Roman"/>
          <w:color w:val="000000"/>
          <w:sz w:val="20"/>
          <w:szCs w:val="20"/>
        </w:rPr>
      </w:pPr>
      <w:r w:rsidRPr="008251A6">
        <w:rPr>
          <w:rFonts w:ascii="Times New Roman" w:hAnsi="Times New Roman"/>
          <w:color w:val="000000"/>
          <w:sz w:val="20"/>
          <w:szCs w:val="20"/>
        </w:rPr>
        <w:t xml:space="preserve">The </w:t>
      </w:r>
      <w:r w:rsidRPr="00833B19">
        <w:rPr>
          <w:rFonts w:ascii="Times New Roman" w:hAnsi="Times New Roman"/>
          <w:color w:val="000000"/>
          <w:sz w:val="20"/>
          <w:szCs w:val="20"/>
        </w:rPr>
        <w:t xml:space="preserve">interim financial report was authorised for issue by the Board of Directors in accordance with a </w:t>
      </w:r>
      <w:r w:rsidR="009F5707" w:rsidRPr="00833B19">
        <w:rPr>
          <w:rFonts w:ascii="Times New Roman" w:hAnsi="Times New Roman"/>
          <w:color w:val="000000"/>
          <w:sz w:val="20"/>
          <w:szCs w:val="20"/>
        </w:rPr>
        <w:t xml:space="preserve">resolution of the directors on </w:t>
      </w:r>
      <w:r w:rsidR="00155493">
        <w:rPr>
          <w:rFonts w:ascii="Times New Roman" w:hAnsi="Times New Roman"/>
          <w:color w:val="000000"/>
          <w:sz w:val="20"/>
          <w:szCs w:val="20"/>
        </w:rPr>
        <w:t>26 February 2015</w:t>
      </w:r>
      <w:r w:rsidRPr="00833B19">
        <w:rPr>
          <w:rFonts w:ascii="Times New Roman" w:hAnsi="Times New Roman"/>
          <w:color w:val="000000"/>
          <w:sz w:val="20"/>
          <w:szCs w:val="20"/>
        </w:rPr>
        <w:t>.</w:t>
      </w:r>
    </w:p>
    <w:p w:rsidR="00E4586B" w:rsidRDefault="00E4586B"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B92466" w:rsidRDefault="00B92466"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B92466" w:rsidRDefault="00B92466"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B92466" w:rsidRDefault="00B92466"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B92466" w:rsidRDefault="00B92466"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E937A7" w:rsidRDefault="00E937A7"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076C09" w:rsidRDefault="00076C09"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076C09" w:rsidRDefault="00076C09"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076C09" w:rsidRDefault="00076C09"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82336A" w:rsidRPr="00644002" w:rsidRDefault="0082336A"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E4586B" w:rsidRPr="00644002" w:rsidRDefault="00E4586B" w:rsidP="00E82353">
      <w:pPr>
        <w:pStyle w:val="ListParagraph"/>
        <w:widowControl w:val="0"/>
        <w:autoSpaceDE w:val="0"/>
        <w:autoSpaceDN w:val="0"/>
        <w:adjustRightInd w:val="0"/>
        <w:spacing w:after="0" w:line="280" w:lineRule="exact"/>
        <w:ind w:left="0"/>
        <w:rPr>
          <w:rFonts w:ascii="Times New Roman" w:hAnsi="Times New Roman"/>
          <w:color w:val="000000"/>
          <w:sz w:val="20"/>
          <w:szCs w:val="20"/>
        </w:rPr>
      </w:pPr>
      <w:r w:rsidRPr="00644002">
        <w:rPr>
          <w:rFonts w:ascii="Times New Roman" w:hAnsi="Times New Roman"/>
          <w:color w:val="000000"/>
          <w:sz w:val="20"/>
          <w:szCs w:val="20"/>
        </w:rPr>
        <w:t>By Order of the Board</w:t>
      </w:r>
    </w:p>
    <w:p w:rsidR="00D471E1" w:rsidRDefault="00D471E1" w:rsidP="002F3A84">
      <w:pPr>
        <w:pStyle w:val="ListParagraph"/>
        <w:widowControl w:val="0"/>
        <w:autoSpaceDE w:val="0"/>
        <w:autoSpaceDN w:val="0"/>
        <w:adjustRightInd w:val="0"/>
        <w:spacing w:after="0" w:line="280" w:lineRule="exact"/>
        <w:ind w:left="0"/>
        <w:outlineLvl w:val="0"/>
        <w:rPr>
          <w:rFonts w:ascii="Times New Roman" w:hAnsi="Times New Roman"/>
          <w:color w:val="000000"/>
          <w:sz w:val="20"/>
          <w:szCs w:val="20"/>
        </w:rPr>
      </w:pPr>
    </w:p>
    <w:p w:rsidR="00E4586B" w:rsidRPr="00644002" w:rsidRDefault="00E4586B" w:rsidP="002F3A84">
      <w:pPr>
        <w:pStyle w:val="ListParagraph"/>
        <w:widowControl w:val="0"/>
        <w:autoSpaceDE w:val="0"/>
        <w:autoSpaceDN w:val="0"/>
        <w:adjustRightInd w:val="0"/>
        <w:spacing w:after="0" w:line="280" w:lineRule="exact"/>
        <w:ind w:left="0"/>
        <w:outlineLvl w:val="0"/>
        <w:rPr>
          <w:rFonts w:ascii="Times New Roman" w:hAnsi="Times New Roman"/>
          <w:color w:val="000000"/>
          <w:sz w:val="20"/>
          <w:szCs w:val="20"/>
        </w:rPr>
      </w:pPr>
      <w:r w:rsidRPr="00644002">
        <w:rPr>
          <w:rFonts w:ascii="Times New Roman" w:hAnsi="Times New Roman"/>
          <w:color w:val="000000"/>
          <w:sz w:val="20"/>
          <w:szCs w:val="20"/>
        </w:rPr>
        <w:t>NOOR AZWAH SAMSUDIN (LS0006071)</w:t>
      </w:r>
    </w:p>
    <w:p w:rsidR="00E4586B" w:rsidRPr="00644002" w:rsidRDefault="00E4586B" w:rsidP="002F3A84">
      <w:pPr>
        <w:pStyle w:val="ListParagraph"/>
        <w:widowControl w:val="0"/>
        <w:autoSpaceDE w:val="0"/>
        <w:autoSpaceDN w:val="0"/>
        <w:adjustRightInd w:val="0"/>
        <w:spacing w:after="0" w:line="280" w:lineRule="exact"/>
        <w:ind w:left="0"/>
        <w:outlineLvl w:val="0"/>
        <w:rPr>
          <w:rFonts w:ascii="Times New Roman" w:hAnsi="Times New Roman"/>
          <w:color w:val="000000"/>
          <w:sz w:val="20"/>
          <w:szCs w:val="20"/>
        </w:rPr>
      </w:pPr>
      <w:r w:rsidRPr="00644002">
        <w:rPr>
          <w:rFonts w:ascii="Times New Roman" w:hAnsi="Times New Roman"/>
          <w:color w:val="000000"/>
          <w:sz w:val="20"/>
          <w:szCs w:val="20"/>
        </w:rPr>
        <w:t>Company Secretary</w:t>
      </w:r>
    </w:p>
    <w:p w:rsidR="00E4586B" w:rsidRPr="00644002" w:rsidRDefault="00155493" w:rsidP="003C3572">
      <w:pPr>
        <w:pStyle w:val="ListParagraph"/>
        <w:widowControl w:val="0"/>
        <w:autoSpaceDE w:val="0"/>
        <w:autoSpaceDN w:val="0"/>
        <w:adjustRightInd w:val="0"/>
        <w:spacing w:after="0" w:line="280" w:lineRule="exact"/>
        <w:ind w:left="0"/>
        <w:rPr>
          <w:rFonts w:ascii="Times New Roman" w:hAnsi="Times New Roman"/>
          <w:sz w:val="20"/>
          <w:szCs w:val="20"/>
        </w:rPr>
      </w:pPr>
      <w:r>
        <w:rPr>
          <w:rFonts w:ascii="Times New Roman" w:hAnsi="Times New Roman"/>
          <w:color w:val="000000"/>
          <w:sz w:val="20"/>
          <w:szCs w:val="20"/>
        </w:rPr>
        <w:t>26 February</w:t>
      </w:r>
      <w:r w:rsidR="00833B19" w:rsidRPr="00833B19">
        <w:rPr>
          <w:rFonts w:ascii="Times New Roman" w:hAnsi="Times New Roman"/>
          <w:color w:val="000000"/>
          <w:sz w:val="20"/>
          <w:szCs w:val="20"/>
        </w:rPr>
        <w:t xml:space="preserve"> 201</w:t>
      </w:r>
      <w:r>
        <w:rPr>
          <w:rFonts w:ascii="Times New Roman" w:hAnsi="Times New Roman"/>
          <w:color w:val="000000"/>
          <w:sz w:val="20"/>
          <w:szCs w:val="20"/>
        </w:rPr>
        <w:t>5</w:t>
      </w:r>
    </w:p>
    <w:p w:rsidR="00463352" w:rsidRPr="00644002" w:rsidRDefault="00463352" w:rsidP="00644002">
      <w:pPr>
        <w:spacing w:after="0"/>
        <w:ind w:left="180"/>
        <w:rPr>
          <w:rFonts w:ascii="Times New Roman" w:hAnsi="Times New Roman"/>
          <w:sz w:val="20"/>
          <w:szCs w:val="20"/>
        </w:rPr>
      </w:pPr>
    </w:p>
    <w:sectPr w:rsidR="00463352" w:rsidRPr="00644002" w:rsidSect="00D763A6">
      <w:pgSz w:w="12240" w:h="15840"/>
      <w:pgMar w:top="1260" w:right="1260" w:bottom="5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66" w:rsidRDefault="00A50466" w:rsidP="00163DE6">
      <w:r>
        <w:separator/>
      </w:r>
    </w:p>
  </w:endnote>
  <w:endnote w:type="continuationSeparator" w:id="0">
    <w:p w:rsidR="00A50466" w:rsidRDefault="00A50466" w:rsidP="0016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55">
    <w:charset w:val="00"/>
    <w:family w:val="auto"/>
    <w:pitch w:val="variable"/>
    <w:sig w:usb0="8000002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E" w:rsidRDefault="0019358E" w:rsidP="00C3146F">
    <w:pPr>
      <w:pStyle w:val="Footer"/>
      <w:tabs>
        <w:tab w:val="clear" w:pos="4680"/>
        <w:tab w:val="clear" w:pos="9360"/>
        <w:tab w:val="left" w:pos="1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66" w:rsidRDefault="00A50466" w:rsidP="00163DE6">
      <w:r>
        <w:separator/>
      </w:r>
    </w:p>
  </w:footnote>
  <w:footnote w:type="continuationSeparator" w:id="0">
    <w:p w:rsidR="00A50466" w:rsidRDefault="00A50466" w:rsidP="0016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E" w:rsidRDefault="0019358E" w:rsidP="00B56183">
    <w:pPr>
      <w:pStyle w:val="Header"/>
      <w:tabs>
        <w:tab w:val="left" w:pos="2100"/>
      </w:tabs>
      <w:jc w:val="center"/>
      <w:rPr>
        <w:rFonts w:ascii="Times New Roman" w:hAnsi="Times New Roman"/>
        <w:sz w:val="20"/>
        <w:szCs w:val="20"/>
      </w:rPr>
    </w:pPr>
  </w:p>
  <w:p w:rsidR="0019358E" w:rsidRPr="00B56183" w:rsidRDefault="0019358E" w:rsidP="00B56183">
    <w:pPr>
      <w:pStyle w:val="Header"/>
      <w:tabs>
        <w:tab w:val="left" w:pos="2100"/>
      </w:tabs>
      <w:jc w:val="center"/>
      <w:rPr>
        <w:rFonts w:ascii="Times New Roman" w:hAnsi="Times New Roman"/>
        <w:sz w:val="20"/>
        <w:szCs w:val="20"/>
      </w:rPr>
    </w:pPr>
    <w:r w:rsidRPr="00B56183">
      <w:rPr>
        <w:rFonts w:ascii="Times New Roman" w:hAnsi="Times New Roman"/>
        <w:sz w:val="20"/>
        <w:szCs w:val="20"/>
      </w:rPr>
      <w:fldChar w:fldCharType="begin"/>
    </w:r>
    <w:r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6B6E6E">
      <w:rPr>
        <w:rFonts w:ascii="Times New Roman" w:hAnsi="Times New Roman"/>
        <w:noProof/>
        <w:sz w:val="20"/>
        <w:szCs w:val="20"/>
      </w:rPr>
      <w:t>1</w:t>
    </w:r>
    <w:r w:rsidRPr="00B56183">
      <w:rPr>
        <w:rFonts w:ascii="Times New Roman" w:hAnsi="Times New Roman"/>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E" w:rsidRPr="00B56183" w:rsidRDefault="0019358E">
    <w:pPr>
      <w:pStyle w:val="Header"/>
      <w:jc w:val="center"/>
      <w:rPr>
        <w:rFonts w:ascii="Times New Roman" w:hAnsi="Times New Roman"/>
        <w:sz w:val="20"/>
        <w:szCs w:val="20"/>
      </w:rPr>
    </w:pPr>
    <w:r w:rsidRPr="00B56183">
      <w:rPr>
        <w:rFonts w:ascii="Times New Roman" w:hAnsi="Times New Roman"/>
        <w:sz w:val="20"/>
        <w:szCs w:val="20"/>
      </w:rPr>
      <w:fldChar w:fldCharType="begin"/>
    </w:r>
    <w:r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6B6E6E">
      <w:rPr>
        <w:rFonts w:ascii="Times New Roman" w:hAnsi="Times New Roman"/>
        <w:noProof/>
        <w:sz w:val="20"/>
        <w:szCs w:val="20"/>
      </w:rPr>
      <w:t>5</w:t>
    </w:r>
    <w:r w:rsidRPr="00B56183">
      <w:rPr>
        <w:rFonts w:ascii="Times New Roman" w:hAnsi="Times New Roman"/>
        <w:sz w:val="20"/>
        <w:szCs w:val="20"/>
      </w:rPr>
      <w:fldChar w:fldCharType="end"/>
    </w:r>
  </w:p>
  <w:p w:rsidR="0019358E" w:rsidRDefault="0019358E" w:rsidP="00595072">
    <w:pPr>
      <w:pStyle w:val="Header"/>
      <w:spacing w:after="0"/>
      <w:jc w:val="center"/>
      <w:rPr>
        <w:rFonts w:ascii="Times New Roman" w:hAnsi="Times New Roman"/>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E" w:rsidRPr="00B56183" w:rsidRDefault="0019358E">
    <w:pPr>
      <w:pStyle w:val="Header"/>
      <w:jc w:val="center"/>
      <w:rPr>
        <w:rFonts w:ascii="Times New Roman" w:hAnsi="Times New Roman"/>
        <w:sz w:val="20"/>
        <w:szCs w:val="20"/>
      </w:rPr>
    </w:pPr>
    <w:r w:rsidRPr="00B56183">
      <w:rPr>
        <w:rFonts w:ascii="Times New Roman" w:hAnsi="Times New Roman"/>
        <w:sz w:val="20"/>
        <w:szCs w:val="20"/>
      </w:rPr>
      <w:fldChar w:fldCharType="begin"/>
    </w:r>
    <w:r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6B6E6E">
      <w:rPr>
        <w:rFonts w:ascii="Times New Roman" w:hAnsi="Times New Roman"/>
        <w:noProof/>
        <w:sz w:val="20"/>
        <w:szCs w:val="20"/>
      </w:rPr>
      <w:t>18</w:t>
    </w:r>
    <w:r w:rsidRPr="00B56183">
      <w:rPr>
        <w:rFonts w:ascii="Times New Roman" w:hAnsi="Times New Roman"/>
        <w:sz w:val="20"/>
        <w:szCs w:val="20"/>
      </w:rPr>
      <w:fldChar w:fldCharType="end"/>
    </w:r>
  </w:p>
  <w:p w:rsidR="0019358E" w:rsidRDefault="0019358E" w:rsidP="00463AD9">
    <w:pPr>
      <w:pStyle w:val="Header"/>
      <w:spacing w:after="0"/>
      <w:rPr>
        <w:rFonts w:ascii="Times New Roman" w:hAnsi="Times New Roman"/>
        <w:b/>
        <w:bCs/>
        <w:sz w:val="20"/>
        <w:szCs w:val="20"/>
      </w:rPr>
    </w:pPr>
    <w:r>
      <w:rPr>
        <w:noProof/>
        <w:lang w:val="en-MY" w:eastAsia="en-MY" w:bidi="ar-SA"/>
      </w:rPr>
      <w:drawing>
        <wp:inline distT="0" distB="0" distL="0" distR="0">
          <wp:extent cx="544830" cy="544830"/>
          <wp:effectExtent l="19050" t="0" r="762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44830" cy="544830"/>
                  </a:xfrm>
                  <a:prstGeom prst="rect">
                    <a:avLst/>
                  </a:prstGeom>
                  <a:noFill/>
                  <a:ln w="9525">
                    <a:noFill/>
                    <a:miter lim="800000"/>
                    <a:headEnd/>
                    <a:tailEnd/>
                  </a:ln>
                </pic:spPr>
              </pic:pic>
            </a:graphicData>
          </a:graphic>
        </wp:inline>
      </w:drawing>
    </w:r>
  </w:p>
  <w:p w:rsidR="0019358E" w:rsidRDefault="0019358E" w:rsidP="00463AD9">
    <w:pPr>
      <w:pStyle w:val="Header"/>
      <w:spacing w:after="0"/>
      <w:rPr>
        <w:rFonts w:ascii="Times New Roman" w:hAnsi="Times New Roman"/>
        <w:b/>
        <w:bCs/>
        <w:sz w:val="20"/>
        <w:szCs w:val="20"/>
      </w:rPr>
    </w:pPr>
    <w:r w:rsidRPr="00644002">
      <w:rPr>
        <w:rFonts w:ascii="Times New Roman" w:hAnsi="Times New Roman"/>
        <w:b/>
        <w:bCs/>
        <w:sz w:val="20"/>
        <w:szCs w:val="20"/>
      </w:rPr>
      <w:t xml:space="preserve">CHEMICAL COMPANY OF </w:t>
    </w:r>
    <w:smartTag w:uri="urn:schemas-microsoft-com:office:smarttags" w:element="place">
      <w:smartTag w:uri="urn:schemas-microsoft-com:office:smarttags" w:element="country-region">
        <w:r w:rsidRPr="00644002">
          <w:rPr>
            <w:rFonts w:ascii="Times New Roman" w:hAnsi="Times New Roman"/>
            <w:b/>
            <w:bCs/>
            <w:sz w:val="20"/>
            <w:szCs w:val="20"/>
          </w:rPr>
          <w:t>MALAYSIA</w:t>
        </w:r>
      </w:smartTag>
    </w:smartTag>
    <w:r w:rsidRPr="00644002">
      <w:rPr>
        <w:rFonts w:ascii="Times New Roman" w:hAnsi="Times New Roman"/>
        <w:b/>
        <w:bCs/>
        <w:sz w:val="20"/>
        <w:szCs w:val="20"/>
      </w:rPr>
      <w:t xml:space="preserve"> BERHAD (5136-T)</w:t>
    </w:r>
  </w:p>
  <w:p w:rsidR="0019358E" w:rsidRDefault="0019358E" w:rsidP="00463AD9">
    <w:pPr>
      <w:pStyle w:val="Header"/>
      <w:spacing w:after="0"/>
      <w:rPr>
        <w:rFonts w:ascii="Times New Roman" w:hAnsi="Times New Roman"/>
        <w:b/>
        <w:bCs/>
        <w:sz w:val="20"/>
        <w:szCs w:val="20"/>
      </w:rPr>
    </w:pPr>
    <w:r w:rsidRPr="00644002">
      <w:rPr>
        <w:rFonts w:ascii="Times New Roman" w:hAnsi="Times New Roman"/>
        <w:b/>
        <w:bCs/>
        <w:sz w:val="20"/>
        <w:szCs w:val="20"/>
      </w:rPr>
      <w:t xml:space="preserve">(Incorporated in </w:t>
    </w:r>
    <w:smartTag w:uri="urn:schemas-microsoft-com:office:smarttags" w:element="place">
      <w:smartTag w:uri="urn:schemas-microsoft-com:office:smarttags" w:element="country-region">
        <w:r w:rsidRPr="00644002">
          <w:rPr>
            <w:rFonts w:ascii="Times New Roman" w:hAnsi="Times New Roman"/>
            <w:b/>
            <w:bCs/>
            <w:sz w:val="20"/>
            <w:szCs w:val="20"/>
          </w:rPr>
          <w:t>Malaysia</w:t>
        </w:r>
      </w:smartTag>
    </w:smartTag>
    <w:r w:rsidRPr="00644002">
      <w:rPr>
        <w:rFonts w:ascii="Times New Roman" w:hAnsi="Times New Roman"/>
        <w:b/>
        <w:bCs/>
        <w:sz w:val="20"/>
        <w:szCs w:val="20"/>
      </w:rPr>
      <w:t>)</w:t>
    </w:r>
  </w:p>
  <w:p w:rsidR="0019358E" w:rsidRPr="00644002" w:rsidRDefault="0019358E" w:rsidP="00463AD9">
    <w:pPr>
      <w:pStyle w:val="Header"/>
      <w:spacing w:after="0"/>
      <w:rPr>
        <w:rFonts w:ascii="Times New Roman" w:hAnsi="Times New Roman"/>
        <w:b/>
        <w:bCs/>
        <w:sz w:val="20"/>
        <w:szCs w:val="20"/>
      </w:rPr>
    </w:pPr>
    <w:r>
      <w:rPr>
        <w:rFonts w:ascii="Times New Roman" w:hAnsi="Times New Roman"/>
        <w:b/>
        <w:bCs/>
        <w:sz w:val="20"/>
        <w:szCs w:val="20"/>
      </w:rPr>
      <w:t xml:space="preserve">For the Period Ended 31 December </w:t>
    </w:r>
    <w:r w:rsidRPr="00644002">
      <w:rPr>
        <w:rFonts w:ascii="Times New Roman" w:hAnsi="Times New Roman"/>
        <w:b/>
        <w:bCs/>
        <w:sz w:val="20"/>
        <w:szCs w:val="20"/>
      </w:rPr>
      <w:t>201</w:t>
    </w:r>
    <w:r>
      <w:rPr>
        <w:rFonts w:ascii="Times New Roman" w:hAnsi="Times New Roman"/>
        <w:b/>
        <w:bCs/>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336"/>
    <w:multiLevelType w:val="hybridMultilevel"/>
    <w:tmpl w:val="42F294DE"/>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
    <w:nsid w:val="130D7EB5"/>
    <w:multiLevelType w:val="multilevel"/>
    <w:tmpl w:val="94FC1AF8"/>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1FB46681"/>
    <w:multiLevelType w:val="hybridMultilevel"/>
    <w:tmpl w:val="39E69BD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FCA47BE"/>
    <w:multiLevelType w:val="hybridMultilevel"/>
    <w:tmpl w:val="BEFE8E70"/>
    <w:lvl w:ilvl="0" w:tplc="CE0EA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7F03C1"/>
    <w:multiLevelType w:val="hybridMultilevel"/>
    <w:tmpl w:val="655865C6"/>
    <w:lvl w:ilvl="0" w:tplc="E690ABC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E70B71"/>
    <w:multiLevelType w:val="hybridMultilevel"/>
    <w:tmpl w:val="02FE4256"/>
    <w:lvl w:ilvl="0" w:tplc="58E26036">
      <w:start w:val="1"/>
      <w:numFmt w:val="lowerLetter"/>
      <w:lvlText w:val="%1)"/>
      <w:lvlJc w:val="left"/>
      <w:pPr>
        <w:ind w:left="1440" w:hanging="360"/>
      </w:pPr>
      <w:rPr>
        <w:rFonts w:ascii="Arial" w:hAnsi="Arial" w:cs="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7D679B"/>
    <w:multiLevelType w:val="hybridMultilevel"/>
    <w:tmpl w:val="A1721496"/>
    <w:lvl w:ilvl="0" w:tplc="23BC4C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AC4A7C"/>
    <w:multiLevelType w:val="hybridMultilevel"/>
    <w:tmpl w:val="93221DC0"/>
    <w:lvl w:ilvl="0" w:tplc="2FF6772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3D0C239D"/>
    <w:multiLevelType w:val="hybridMultilevel"/>
    <w:tmpl w:val="884EABE2"/>
    <w:lvl w:ilvl="0" w:tplc="820449AA">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nsid w:val="3D482696"/>
    <w:multiLevelType w:val="hybridMultilevel"/>
    <w:tmpl w:val="4FE21760"/>
    <w:lvl w:ilvl="0" w:tplc="10A25AFA">
      <w:start w:val="1"/>
      <w:numFmt w:val="lowerRoman"/>
      <w:lvlText w:val="%1)"/>
      <w:lvlJc w:val="right"/>
      <w:pPr>
        <w:ind w:left="720" w:hanging="360"/>
      </w:pPr>
      <w:rPr>
        <w:rFonts w:hint="default"/>
      </w:rPr>
    </w:lvl>
    <w:lvl w:ilvl="1" w:tplc="66A07AF6">
      <w:start w:val="1"/>
      <w:numFmt w:val="lowerRoman"/>
      <w:lvlText w:val="%2)"/>
      <w:lvlJc w:val="left"/>
      <w:pPr>
        <w:ind w:left="1440" w:hanging="360"/>
      </w:pPr>
      <w:rPr>
        <w:rFonts w:hint="default"/>
      </w:rPr>
    </w:lvl>
    <w:lvl w:ilvl="2" w:tplc="1DF20CF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D7503"/>
    <w:multiLevelType w:val="hybridMultilevel"/>
    <w:tmpl w:val="8B62A84A"/>
    <w:lvl w:ilvl="0" w:tplc="820449AA">
      <w:start w:val="1"/>
      <w:numFmt w:val="lowerRoman"/>
      <w:lvlText w:val="(%1)"/>
      <w:lvlJc w:val="left"/>
      <w:pPr>
        <w:ind w:left="1828" w:hanging="360"/>
      </w:pPr>
      <w:rPr>
        <w:rFonts w:hint="default"/>
      </w:r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11">
    <w:nsid w:val="455A5F9E"/>
    <w:multiLevelType w:val="hybridMultilevel"/>
    <w:tmpl w:val="342E16B6"/>
    <w:lvl w:ilvl="0" w:tplc="03DC53DA">
      <w:start w:val="1"/>
      <w:numFmt w:val="low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2">
    <w:nsid w:val="45EB788D"/>
    <w:multiLevelType w:val="hybridMultilevel"/>
    <w:tmpl w:val="29AE4ED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3">
    <w:nsid w:val="515C0447"/>
    <w:multiLevelType w:val="hybridMultilevel"/>
    <w:tmpl w:val="99DC1134"/>
    <w:lvl w:ilvl="0" w:tplc="606C9748">
      <w:start w:val="1"/>
      <w:numFmt w:val="bullet"/>
      <w:lvlText w:val=""/>
      <w:lvlJc w:val="left"/>
      <w:pPr>
        <w:tabs>
          <w:tab w:val="num" w:pos="720"/>
        </w:tabs>
        <w:ind w:left="720" w:hanging="360"/>
      </w:pPr>
      <w:rPr>
        <w:rFonts w:ascii="Wingdings" w:hAnsi="Wingdings" w:hint="default"/>
      </w:rPr>
    </w:lvl>
    <w:lvl w:ilvl="1" w:tplc="38D24CD4" w:tentative="1">
      <w:start w:val="1"/>
      <w:numFmt w:val="bullet"/>
      <w:lvlText w:val=""/>
      <w:lvlJc w:val="left"/>
      <w:pPr>
        <w:tabs>
          <w:tab w:val="num" w:pos="1440"/>
        </w:tabs>
        <w:ind w:left="1440" w:hanging="360"/>
      </w:pPr>
      <w:rPr>
        <w:rFonts w:ascii="Wingdings" w:hAnsi="Wingdings" w:hint="default"/>
      </w:rPr>
    </w:lvl>
    <w:lvl w:ilvl="2" w:tplc="E47872EE" w:tentative="1">
      <w:start w:val="1"/>
      <w:numFmt w:val="bullet"/>
      <w:lvlText w:val=""/>
      <w:lvlJc w:val="left"/>
      <w:pPr>
        <w:tabs>
          <w:tab w:val="num" w:pos="2160"/>
        </w:tabs>
        <w:ind w:left="2160" w:hanging="360"/>
      </w:pPr>
      <w:rPr>
        <w:rFonts w:ascii="Wingdings" w:hAnsi="Wingdings" w:hint="default"/>
      </w:rPr>
    </w:lvl>
    <w:lvl w:ilvl="3" w:tplc="B04609D0" w:tentative="1">
      <w:start w:val="1"/>
      <w:numFmt w:val="bullet"/>
      <w:lvlText w:val=""/>
      <w:lvlJc w:val="left"/>
      <w:pPr>
        <w:tabs>
          <w:tab w:val="num" w:pos="2880"/>
        </w:tabs>
        <w:ind w:left="2880" w:hanging="360"/>
      </w:pPr>
      <w:rPr>
        <w:rFonts w:ascii="Wingdings" w:hAnsi="Wingdings" w:hint="default"/>
      </w:rPr>
    </w:lvl>
    <w:lvl w:ilvl="4" w:tplc="D3120358" w:tentative="1">
      <w:start w:val="1"/>
      <w:numFmt w:val="bullet"/>
      <w:lvlText w:val=""/>
      <w:lvlJc w:val="left"/>
      <w:pPr>
        <w:tabs>
          <w:tab w:val="num" w:pos="3600"/>
        </w:tabs>
        <w:ind w:left="3600" w:hanging="360"/>
      </w:pPr>
      <w:rPr>
        <w:rFonts w:ascii="Wingdings" w:hAnsi="Wingdings" w:hint="default"/>
      </w:rPr>
    </w:lvl>
    <w:lvl w:ilvl="5" w:tplc="8C9EF12A" w:tentative="1">
      <w:start w:val="1"/>
      <w:numFmt w:val="bullet"/>
      <w:lvlText w:val=""/>
      <w:lvlJc w:val="left"/>
      <w:pPr>
        <w:tabs>
          <w:tab w:val="num" w:pos="4320"/>
        </w:tabs>
        <w:ind w:left="4320" w:hanging="360"/>
      </w:pPr>
      <w:rPr>
        <w:rFonts w:ascii="Wingdings" w:hAnsi="Wingdings" w:hint="default"/>
      </w:rPr>
    </w:lvl>
    <w:lvl w:ilvl="6" w:tplc="6F66F7F0" w:tentative="1">
      <w:start w:val="1"/>
      <w:numFmt w:val="bullet"/>
      <w:lvlText w:val=""/>
      <w:lvlJc w:val="left"/>
      <w:pPr>
        <w:tabs>
          <w:tab w:val="num" w:pos="5040"/>
        </w:tabs>
        <w:ind w:left="5040" w:hanging="360"/>
      </w:pPr>
      <w:rPr>
        <w:rFonts w:ascii="Wingdings" w:hAnsi="Wingdings" w:hint="default"/>
      </w:rPr>
    </w:lvl>
    <w:lvl w:ilvl="7" w:tplc="38D830A4" w:tentative="1">
      <w:start w:val="1"/>
      <w:numFmt w:val="bullet"/>
      <w:lvlText w:val=""/>
      <w:lvlJc w:val="left"/>
      <w:pPr>
        <w:tabs>
          <w:tab w:val="num" w:pos="5760"/>
        </w:tabs>
        <w:ind w:left="5760" w:hanging="360"/>
      </w:pPr>
      <w:rPr>
        <w:rFonts w:ascii="Wingdings" w:hAnsi="Wingdings" w:hint="default"/>
      </w:rPr>
    </w:lvl>
    <w:lvl w:ilvl="8" w:tplc="840C371C" w:tentative="1">
      <w:start w:val="1"/>
      <w:numFmt w:val="bullet"/>
      <w:lvlText w:val=""/>
      <w:lvlJc w:val="left"/>
      <w:pPr>
        <w:tabs>
          <w:tab w:val="num" w:pos="6480"/>
        </w:tabs>
        <w:ind w:left="6480" w:hanging="360"/>
      </w:pPr>
      <w:rPr>
        <w:rFonts w:ascii="Wingdings" w:hAnsi="Wingdings" w:hint="default"/>
      </w:rPr>
    </w:lvl>
  </w:abstractNum>
  <w:abstractNum w:abstractNumId="14">
    <w:nsid w:val="5A152497"/>
    <w:multiLevelType w:val="hybridMultilevel"/>
    <w:tmpl w:val="AA122052"/>
    <w:lvl w:ilvl="0" w:tplc="D7A434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AF71E1"/>
    <w:multiLevelType w:val="hybridMultilevel"/>
    <w:tmpl w:val="A0D46DF0"/>
    <w:lvl w:ilvl="0" w:tplc="3A0C4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EE2C9D"/>
    <w:multiLevelType w:val="hybridMultilevel"/>
    <w:tmpl w:val="B81A2C86"/>
    <w:lvl w:ilvl="0" w:tplc="BDC4A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473A97"/>
    <w:multiLevelType w:val="hybridMultilevel"/>
    <w:tmpl w:val="FB5693B2"/>
    <w:lvl w:ilvl="0" w:tplc="83446D20">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6E1023A4"/>
    <w:multiLevelType w:val="hybridMultilevel"/>
    <w:tmpl w:val="1B9A46C8"/>
    <w:lvl w:ilvl="0" w:tplc="BF22239A">
      <w:start w:val="1"/>
      <w:numFmt w:val="bullet"/>
      <w:lvlText w:val=""/>
      <w:lvlJc w:val="left"/>
      <w:pPr>
        <w:tabs>
          <w:tab w:val="num" w:pos="720"/>
        </w:tabs>
        <w:ind w:left="720" w:hanging="360"/>
      </w:pPr>
      <w:rPr>
        <w:rFonts w:ascii="Wingdings" w:hAnsi="Wingdings" w:hint="default"/>
      </w:rPr>
    </w:lvl>
    <w:lvl w:ilvl="1" w:tplc="20EEBA54" w:tentative="1">
      <w:start w:val="1"/>
      <w:numFmt w:val="bullet"/>
      <w:lvlText w:val=""/>
      <w:lvlJc w:val="left"/>
      <w:pPr>
        <w:tabs>
          <w:tab w:val="num" w:pos="1440"/>
        </w:tabs>
        <w:ind w:left="1440" w:hanging="360"/>
      </w:pPr>
      <w:rPr>
        <w:rFonts w:ascii="Wingdings" w:hAnsi="Wingdings" w:hint="default"/>
      </w:rPr>
    </w:lvl>
    <w:lvl w:ilvl="2" w:tplc="AD5C21F2" w:tentative="1">
      <w:start w:val="1"/>
      <w:numFmt w:val="bullet"/>
      <w:lvlText w:val=""/>
      <w:lvlJc w:val="left"/>
      <w:pPr>
        <w:tabs>
          <w:tab w:val="num" w:pos="2160"/>
        </w:tabs>
        <w:ind w:left="2160" w:hanging="360"/>
      </w:pPr>
      <w:rPr>
        <w:rFonts w:ascii="Wingdings" w:hAnsi="Wingdings" w:hint="default"/>
      </w:rPr>
    </w:lvl>
    <w:lvl w:ilvl="3" w:tplc="BC64CCEC" w:tentative="1">
      <w:start w:val="1"/>
      <w:numFmt w:val="bullet"/>
      <w:lvlText w:val=""/>
      <w:lvlJc w:val="left"/>
      <w:pPr>
        <w:tabs>
          <w:tab w:val="num" w:pos="2880"/>
        </w:tabs>
        <w:ind w:left="2880" w:hanging="360"/>
      </w:pPr>
      <w:rPr>
        <w:rFonts w:ascii="Wingdings" w:hAnsi="Wingdings" w:hint="default"/>
      </w:rPr>
    </w:lvl>
    <w:lvl w:ilvl="4" w:tplc="FD36A3D4" w:tentative="1">
      <w:start w:val="1"/>
      <w:numFmt w:val="bullet"/>
      <w:lvlText w:val=""/>
      <w:lvlJc w:val="left"/>
      <w:pPr>
        <w:tabs>
          <w:tab w:val="num" w:pos="3600"/>
        </w:tabs>
        <w:ind w:left="3600" w:hanging="360"/>
      </w:pPr>
      <w:rPr>
        <w:rFonts w:ascii="Wingdings" w:hAnsi="Wingdings" w:hint="default"/>
      </w:rPr>
    </w:lvl>
    <w:lvl w:ilvl="5" w:tplc="640A38DA" w:tentative="1">
      <w:start w:val="1"/>
      <w:numFmt w:val="bullet"/>
      <w:lvlText w:val=""/>
      <w:lvlJc w:val="left"/>
      <w:pPr>
        <w:tabs>
          <w:tab w:val="num" w:pos="4320"/>
        </w:tabs>
        <w:ind w:left="4320" w:hanging="360"/>
      </w:pPr>
      <w:rPr>
        <w:rFonts w:ascii="Wingdings" w:hAnsi="Wingdings" w:hint="default"/>
      </w:rPr>
    </w:lvl>
    <w:lvl w:ilvl="6" w:tplc="81A03DCA" w:tentative="1">
      <w:start w:val="1"/>
      <w:numFmt w:val="bullet"/>
      <w:lvlText w:val=""/>
      <w:lvlJc w:val="left"/>
      <w:pPr>
        <w:tabs>
          <w:tab w:val="num" w:pos="5040"/>
        </w:tabs>
        <w:ind w:left="5040" w:hanging="360"/>
      </w:pPr>
      <w:rPr>
        <w:rFonts w:ascii="Wingdings" w:hAnsi="Wingdings" w:hint="default"/>
      </w:rPr>
    </w:lvl>
    <w:lvl w:ilvl="7" w:tplc="CB48FEC8" w:tentative="1">
      <w:start w:val="1"/>
      <w:numFmt w:val="bullet"/>
      <w:lvlText w:val=""/>
      <w:lvlJc w:val="left"/>
      <w:pPr>
        <w:tabs>
          <w:tab w:val="num" w:pos="5760"/>
        </w:tabs>
        <w:ind w:left="5760" w:hanging="360"/>
      </w:pPr>
      <w:rPr>
        <w:rFonts w:ascii="Wingdings" w:hAnsi="Wingdings" w:hint="default"/>
      </w:rPr>
    </w:lvl>
    <w:lvl w:ilvl="8" w:tplc="05D411A8" w:tentative="1">
      <w:start w:val="1"/>
      <w:numFmt w:val="bullet"/>
      <w:lvlText w:val=""/>
      <w:lvlJc w:val="left"/>
      <w:pPr>
        <w:tabs>
          <w:tab w:val="num" w:pos="6480"/>
        </w:tabs>
        <w:ind w:left="6480" w:hanging="360"/>
      </w:pPr>
      <w:rPr>
        <w:rFonts w:ascii="Wingdings" w:hAnsi="Wingdings" w:hint="default"/>
      </w:rPr>
    </w:lvl>
  </w:abstractNum>
  <w:abstractNum w:abstractNumId="19">
    <w:nsid w:val="759D5B1F"/>
    <w:multiLevelType w:val="hybridMultilevel"/>
    <w:tmpl w:val="F22051E8"/>
    <w:lvl w:ilvl="0" w:tplc="66A07AF6">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BE4D1A"/>
    <w:multiLevelType w:val="hybridMultilevel"/>
    <w:tmpl w:val="6D98020E"/>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1">
    <w:nsid w:val="79FC04AE"/>
    <w:multiLevelType w:val="hybridMultilevel"/>
    <w:tmpl w:val="D5282162"/>
    <w:lvl w:ilvl="0" w:tplc="7346DD1A">
      <w:start w:val="30"/>
      <w:numFmt w:val="bullet"/>
      <w:lvlText w:val="-"/>
      <w:lvlJc w:val="left"/>
      <w:pPr>
        <w:ind w:left="720" w:hanging="360"/>
      </w:pPr>
      <w:rPr>
        <w:rFonts w:ascii="Times New Roman" w:eastAsia="PMingLiU"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EE14789"/>
    <w:multiLevelType w:val="hybridMultilevel"/>
    <w:tmpl w:val="BFD856CA"/>
    <w:lvl w:ilvl="0" w:tplc="4DC62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8"/>
  </w:num>
  <w:num w:numId="4">
    <w:abstractNumId w:val="11"/>
  </w:num>
  <w:num w:numId="5">
    <w:abstractNumId w:val="22"/>
  </w:num>
  <w:num w:numId="6">
    <w:abstractNumId w:val="16"/>
  </w:num>
  <w:num w:numId="7">
    <w:abstractNumId w:val="1"/>
  </w:num>
  <w:num w:numId="8">
    <w:abstractNumId w:val="3"/>
  </w:num>
  <w:num w:numId="9">
    <w:abstractNumId w:val="0"/>
  </w:num>
  <w:num w:numId="10">
    <w:abstractNumId w:val="4"/>
  </w:num>
  <w:num w:numId="11">
    <w:abstractNumId w:val="15"/>
  </w:num>
  <w:num w:numId="12">
    <w:abstractNumId w:val="12"/>
  </w:num>
  <w:num w:numId="13">
    <w:abstractNumId w:val="20"/>
  </w:num>
  <w:num w:numId="14">
    <w:abstractNumId w:val="6"/>
  </w:num>
  <w:num w:numId="15">
    <w:abstractNumId w:val="7"/>
  </w:num>
  <w:num w:numId="16">
    <w:abstractNumId w:val="17"/>
  </w:num>
  <w:num w:numId="17">
    <w:abstractNumId w:val="14"/>
  </w:num>
  <w:num w:numId="18">
    <w:abstractNumId w:val="13"/>
  </w:num>
  <w:num w:numId="19">
    <w:abstractNumId w:val="18"/>
  </w:num>
  <w:num w:numId="20">
    <w:abstractNumId w:val="10"/>
  </w:num>
  <w:num w:numId="21">
    <w:abstractNumId w:val="9"/>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C8"/>
    <w:rsid w:val="000004C8"/>
    <w:rsid w:val="00000A35"/>
    <w:rsid w:val="0000159D"/>
    <w:rsid w:val="0000236D"/>
    <w:rsid w:val="00002EFD"/>
    <w:rsid w:val="000030E5"/>
    <w:rsid w:val="00004219"/>
    <w:rsid w:val="0000472E"/>
    <w:rsid w:val="0000528B"/>
    <w:rsid w:val="000062C2"/>
    <w:rsid w:val="000066ED"/>
    <w:rsid w:val="00007908"/>
    <w:rsid w:val="00007C83"/>
    <w:rsid w:val="00010E17"/>
    <w:rsid w:val="00011B3B"/>
    <w:rsid w:val="0001201A"/>
    <w:rsid w:val="0001262E"/>
    <w:rsid w:val="00014312"/>
    <w:rsid w:val="00014A7F"/>
    <w:rsid w:val="00016C1F"/>
    <w:rsid w:val="00016EDB"/>
    <w:rsid w:val="00021B2D"/>
    <w:rsid w:val="00021BC5"/>
    <w:rsid w:val="00022181"/>
    <w:rsid w:val="00023B8B"/>
    <w:rsid w:val="000253A2"/>
    <w:rsid w:val="0002551A"/>
    <w:rsid w:val="00025D4A"/>
    <w:rsid w:val="00026BEB"/>
    <w:rsid w:val="00026E0F"/>
    <w:rsid w:val="00027374"/>
    <w:rsid w:val="00027891"/>
    <w:rsid w:val="000302B3"/>
    <w:rsid w:val="000311BE"/>
    <w:rsid w:val="00031C06"/>
    <w:rsid w:val="00031E65"/>
    <w:rsid w:val="00032CEA"/>
    <w:rsid w:val="00032D42"/>
    <w:rsid w:val="00033DDC"/>
    <w:rsid w:val="000408A4"/>
    <w:rsid w:val="00042A39"/>
    <w:rsid w:val="00044C25"/>
    <w:rsid w:val="00045025"/>
    <w:rsid w:val="00047F4D"/>
    <w:rsid w:val="00050D1F"/>
    <w:rsid w:val="00051A42"/>
    <w:rsid w:val="00054D32"/>
    <w:rsid w:val="00054EEE"/>
    <w:rsid w:val="00055E4B"/>
    <w:rsid w:val="00055F9E"/>
    <w:rsid w:val="00056FE8"/>
    <w:rsid w:val="000570AE"/>
    <w:rsid w:val="00057177"/>
    <w:rsid w:val="00057971"/>
    <w:rsid w:val="000606C6"/>
    <w:rsid w:val="000636D1"/>
    <w:rsid w:val="00064D6D"/>
    <w:rsid w:val="00065BB4"/>
    <w:rsid w:val="0007009B"/>
    <w:rsid w:val="00070169"/>
    <w:rsid w:val="00070850"/>
    <w:rsid w:val="00070BEB"/>
    <w:rsid w:val="0007108D"/>
    <w:rsid w:val="00072D39"/>
    <w:rsid w:val="00073BC1"/>
    <w:rsid w:val="00074321"/>
    <w:rsid w:val="00075287"/>
    <w:rsid w:val="0007586E"/>
    <w:rsid w:val="00076478"/>
    <w:rsid w:val="00076B73"/>
    <w:rsid w:val="00076C09"/>
    <w:rsid w:val="00081696"/>
    <w:rsid w:val="00081973"/>
    <w:rsid w:val="00083C79"/>
    <w:rsid w:val="0008432E"/>
    <w:rsid w:val="0008514D"/>
    <w:rsid w:val="0008666D"/>
    <w:rsid w:val="00086E8B"/>
    <w:rsid w:val="00087815"/>
    <w:rsid w:val="00087CA9"/>
    <w:rsid w:val="000909B3"/>
    <w:rsid w:val="00091F2A"/>
    <w:rsid w:val="00092717"/>
    <w:rsid w:val="00093BED"/>
    <w:rsid w:val="0009468E"/>
    <w:rsid w:val="000947D4"/>
    <w:rsid w:val="00094B5C"/>
    <w:rsid w:val="00094BB0"/>
    <w:rsid w:val="0009545F"/>
    <w:rsid w:val="00095CB2"/>
    <w:rsid w:val="0009791D"/>
    <w:rsid w:val="000A0008"/>
    <w:rsid w:val="000A1D36"/>
    <w:rsid w:val="000A26C1"/>
    <w:rsid w:val="000A3290"/>
    <w:rsid w:val="000A34B9"/>
    <w:rsid w:val="000A36EA"/>
    <w:rsid w:val="000A3775"/>
    <w:rsid w:val="000A3A68"/>
    <w:rsid w:val="000A44ED"/>
    <w:rsid w:val="000A4C18"/>
    <w:rsid w:val="000A4D71"/>
    <w:rsid w:val="000A5737"/>
    <w:rsid w:val="000A5965"/>
    <w:rsid w:val="000A64B7"/>
    <w:rsid w:val="000B0CEC"/>
    <w:rsid w:val="000B2DB4"/>
    <w:rsid w:val="000B2FA8"/>
    <w:rsid w:val="000B33CC"/>
    <w:rsid w:val="000B3635"/>
    <w:rsid w:val="000B3C1D"/>
    <w:rsid w:val="000B3DBE"/>
    <w:rsid w:val="000B49B5"/>
    <w:rsid w:val="000B53FB"/>
    <w:rsid w:val="000B54E9"/>
    <w:rsid w:val="000B65D0"/>
    <w:rsid w:val="000B7750"/>
    <w:rsid w:val="000C043D"/>
    <w:rsid w:val="000C095A"/>
    <w:rsid w:val="000C19B1"/>
    <w:rsid w:val="000C1ECC"/>
    <w:rsid w:val="000C2372"/>
    <w:rsid w:val="000C24BD"/>
    <w:rsid w:val="000C25FE"/>
    <w:rsid w:val="000C3404"/>
    <w:rsid w:val="000C4690"/>
    <w:rsid w:val="000C7D58"/>
    <w:rsid w:val="000D049F"/>
    <w:rsid w:val="000D05A0"/>
    <w:rsid w:val="000D12BA"/>
    <w:rsid w:val="000D1FE6"/>
    <w:rsid w:val="000D5248"/>
    <w:rsid w:val="000D6485"/>
    <w:rsid w:val="000E1DFC"/>
    <w:rsid w:val="000E2199"/>
    <w:rsid w:val="000E3DBC"/>
    <w:rsid w:val="000E423A"/>
    <w:rsid w:val="000E4362"/>
    <w:rsid w:val="000E4A98"/>
    <w:rsid w:val="000E4AA5"/>
    <w:rsid w:val="000F2333"/>
    <w:rsid w:val="000F2EA8"/>
    <w:rsid w:val="000F4D7F"/>
    <w:rsid w:val="0010011C"/>
    <w:rsid w:val="001001DD"/>
    <w:rsid w:val="00100D5B"/>
    <w:rsid w:val="00101E88"/>
    <w:rsid w:val="00103195"/>
    <w:rsid w:val="00103DCB"/>
    <w:rsid w:val="00105730"/>
    <w:rsid w:val="001074DA"/>
    <w:rsid w:val="001078B0"/>
    <w:rsid w:val="001117D2"/>
    <w:rsid w:val="00111E98"/>
    <w:rsid w:val="00111FD0"/>
    <w:rsid w:val="00112237"/>
    <w:rsid w:val="00112BF8"/>
    <w:rsid w:val="00112CC8"/>
    <w:rsid w:val="00112FA0"/>
    <w:rsid w:val="0011474D"/>
    <w:rsid w:val="00114F4D"/>
    <w:rsid w:val="001153DB"/>
    <w:rsid w:val="00116F3F"/>
    <w:rsid w:val="0011747F"/>
    <w:rsid w:val="001179CF"/>
    <w:rsid w:val="00117BE0"/>
    <w:rsid w:val="00117D45"/>
    <w:rsid w:val="00121625"/>
    <w:rsid w:val="00124BAB"/>
    <w:rsid w:val="001250B9"/>
    <w:rsid w:val="0012719E"/>
    <w:rsid w:val="001276D5"/>
    <w:rsid w:val="00131959"/>
    <w:rsid w:val="0013297B"/>
    <w:rsid w:val="00133848"/>
    <w:rsid w:val="00135EA9"/>
    <w:rsid w:val="00136D82"/>
    <w:rsid w:val="00137162"/>
    <w:rsid w:val="0014169A"/>
    <w:rsid w:val="00141CDD"/>
    <w:rsid w:val="001442FB"/>
    <w:rsid w:val="001444B2"/>
    <w:rsid w:val="00144792"/>
    <w:rsid w:val="00146199"/>
    <w:rsid w:val="00146BFB"/>
    <w:rsid w:val="0014786F"/>
    <w:rsid w:val="00150D58"/>
    <w:rsid w:val="00151B41"/>
    <w:rsid w:val="00151CE5"/>
    <w:rsid w:val="00151F43"/>
    <w:rsid w:val="00152407"/>
    <w:rsid w:val="001527B1"/>
    <w:rsid w:val="00154E79"/>
    <w:rsid w:val="00155493"/>
    <w:rsid w:val="001557BC"/>
    <w:rsid w:val="001563A8"/>
    <w:rsid w:val="00160470"/>
    <w:rsid w:val="001606A6"/>
    <w:rsid w:val="001606E3"/>
    <w:rsid w:val="00161019"/>
    <w:rsid w:val="001618A7"/>
    <w:rsid w:val="00161AF1"/>
    <w:rsid w:val="00161FD2"/>
    <w:rsid w:val="00162975"/>
    <w:rsid w:val="00162F87"/>
    <w:rsid w:val="00163DE6"/>
    <w:rsid w:val="0016536F"/>
    <w:rsid w:val="00165E91"/>
    <w:rsid w:val="00166AA9"/>
    <w:rsid w:val="00167545"/>
    <w:rsid w:val="00167986"/>
    <w:rsid w:val="00167D7A"/>
    <w:rsid w:val="00170344"/>
    <w:rsid w:val="001718D9"/>
    <w:rsid w:val="001729E3"/>
    <w:rsid w:val="00173439"/>
    <w:rsid w:val="001739D0"/>
    <w:rsid w:val="00173D52"/>
    <w:rsid w:val="001741D9"/>
    <w:rsid w:val="00175063"/>
    <w:rsid w:val="0017604E"/>
    <w:rsid w:val="001766CC"/>
    <w:rsid w:val="00176BEE"/>
    <w:rsid w:val="00177ADD"/>
    <w:rsid w:val="0018143E"/>
    <w:rsid w:val="0018159D"/>
    <w:rsid w:val="00181D85"/>
    <w:rsid w:val="00181F63"/>
    <w:rsid w:val="00182422"/>
    <w:rsid w:val="001824B9"/>
    <w:rsid w:val="00182689"/>
    <w:rsid w:val="001842C0"/>
    <w:rsid w:val="001848E8"/>
    <w:rsid w:val="00184AA3"/>
    <w:rsid w:val="00184B9F"/>
    <w:rsid w:val="001856A1"/>
    <w:rsid w:val="001857A5"/>
    <w:rsid w:val="00186FB0"/>
    <w:rsid w:val="0018712E"/>
    <w:rsid w:val="001905AD"/>
    <w:rsid w:val="00190FF0"/>
    <w:rsid w:val="00191C27"/>
    <w:rsid w:val="0019240D"/>
    <w:rsid w:val="00192422"/>
    <w:rsid w:val="00192E05"/>
    <w:rsid w:val="00193282"/>
    <w:rsid w:val="001934B6"/>
    <w:rsid w:val="0019354E"/>
    <w:rsid w:val="0019358E"/>
    <w:rsid w:val="001935FB"/>
    <w:rsid w:val="00194440"/>
    <w:rsid w:val="00194F60"/>
    <w:rsid w:val="00195469"/>
    <w:rsid w:val="00195574"/>
    <w:rsid w:val="00195CEB"/>
    <w:rsid w:val="00196276"/>
    <w:rsid w:val="001962B6"/>
    <w:rsid w:val="001966DE"/>
    <w:rsid w:val="001A02F5"/>
    <w:rsid w:val="001A0DBF"/>
    <w:rsid w:val="001A1412"/>
    <w:rsid w:val="001A1628"/>
    <w:rsid w:val="001A2D38"/>
    <w:rsid w:val="001A2EDD"/>
    <w:rsid w:val="001A5D4B"/>
    <w:rsid w:val="001A72F6"/>
    <w:rsid w:val="001A79AE"/>
    <w:rsid w:val="001B0191"/>
    <w:rsid w:val="001B1301"/>
    <w:rsid w:val="001B3294"/>
    <w:rsid w:val="001B3628"/>
    <w:rsid w:val="001B3E80"/>
    <w:rsid w:val="001B4166"/>
    <w:rsid w:val="001B4D60"/>
    <w:rsid w:val="001B7719"/>
    <w:rsid w:val="001C0BAD"/>
    <w:rsid w:val="001C14A0"/>
    <w:rsid w:val="001C1F3E"/>
    <w:rsid w:val="001C4AD6"/>
    <w:rsid w:val="001C5E56"/>
    <w:rsid w:val="001C6097"/>
    <w:rsid w:val="001C7460"/>
    <w:rsid w:val="001D0DEB"/>
    <w:rsid w:val="001D141C"/>
    <w:rsid w:val="001D2AB9"/>
    <w:rsid w:val="001D2F45"/>
    <w:rsid w:val="001D3D95"/>
    <w:rsid w:val="001D691A"/>
    <w:rsid w:val="001D71A3"/>
    <w:rsid w:val="001D7482"/>
    <w:rsid w:val="001D79BC"/>
    <w:rsid w:val="001E0A1F"/>
    <w:rsid w:val="001E0E4A"/>
    <w:rsid w:val="001E1211"/>
    <w:rsid w:val="001E319E"/>
    <w:rsid w:val="001E55E3"/>
    <w:rsid w:val="001E58A5"/>
    <w:rsid w:val="001E6602"/>
    <w:rsid w:val="001F1A2C"/>
    <w:rsid w:val="001F4973"/>
    <w:rsid w:val="001F5E06"/>
    <w:rsid w:val="001F690D"/>
    <w:rsid w:val="001F77A3"/>
    <w:rsid w:val="001F7969"/>
    <w:rsid w:val="0020026A"/>
    <w:rsid w:val="002014BB"/>
    <w:rsid w:val="0020154E"/>
    <w:rsid w:val="00201BB0"/>
    <w:rsid w:val="00201ED0"/>
    <w:rsid w:val="0020429B"/>
    <w:rsid w:val="00204480"/>
    <w:rsid w:val="00204C16"/>
    <w:rsid w:val="002109EC"/>
    <w:rsid w:val="002110C9"/>
    <w:rsid w:val="00211421"/>
    <w:rsid w:val="00212710"/>
    <w:rsid w:val="00212E24"/>
    <w:rsid w:val="0021473E"/>
    <w:rsid w:val="002176B2"/>
    <w:rsid w:val="00217855"/>
    <w:rsid w:val="00217E94"/>
    <w:rsid w:val="00217FF5"/>
    <w:rsid w:val="00220D72"/>
    <w:rsid w:val="002216E9"/>
    <w:rsid w:val="002224A2"/>
    <w:rsid w:val="0022409F"/>
    <w:rsid w:val="002262E1"/>
    <w:rsid w:val="00227177"/>
    <w:rsid w:val="00227FB2"/>
    <w:rsid w:val="00231641"/>
    <w:rsid w:val="002347C8"/>
    <w:rsid w:val="00234D1F"/>
    <w:rsid w:val="002353DD"/>
    <w:rsid w:val="002359F6"/>
    <w:rsid w:val="00236070"/>
    <w:rsid w:val="00237DF1"/>
    <w:rsid w:val="00237DF6"/>
    <w:rsid w:val="00240648"/>
    <w:rsid w:val="00240830"/>
    <w:rsid w:val="00240F77"/>
    <w:rsid w:val="002415CF"/>
    <w:rsid w:val="00241EB8"/>
    <w:rsid w:val="00242418"/>
    <w:rsid w:val="0024247E"/>
    <w:rsid w:val="00243F5E"/>
    <w:rsid w:val="00245533"/>
    <w:rsid w:val="00246FD8"/>
    <w:rsid w:val="0024726B"/>
    <w:rsid w:val="0025045B"/>
    <w:rsid w:val="002527E5"/>
    <w:rsid w:val="00252B5A"/>
    <w:rsid w:val="00253F0B"/>
    <w:rsid w:val="00255487"/>
    <w:rsid w:val="00255BC3"/>
    <w:rsid w:val="00255E24"/>
    <w:rsid w:val="002574E7"/>
    <w:rsid w:val="00261A50"/>
    <w:rsid w:val="00261CE0"/>
    <w:rsid w:val="002627DE"/>
    <w:rsid w:val="002636A0"/>
    <w:rsid w:val="00266934"/>
    <w:rsid w:val="002679F9"/>
    <w:rsid w:val="0027105D"/>
    <w:rsid w:val="002722B2"/>
    <w:rsid w:val="002722EC"/>
    <w:rsid w:val="002727B8"/>
    <w:rsid w:val="00272E95"/>
    <w:rsid w:val="00272EEB"/>
    <w:rsid w:val="00276B34"/>
    <w:rsid w:val="00277296"/>
    <w:rsid w:val="00280758"/>
    <w:rsid w:val="00282443"/>
    <w:rsid w:val="002831C1"/>
    <w:rsid w:val="00283F1D"/>
    <w:rsid w:val="00284823"/>
    <w:rsid w:val="002856E3"/>
    <w:rsid w:val="00285779"/>
    <w:rsid w:val="00285BBB"/>
    <w:rsid w:val="002901B6"/>
    <w:rsid w:val="0029097B"/>
    <w:rsid w:val="00290FB3"/>
    <w:rsid w:val="00290FF5"/>
    <w:rsid w:val="00291E26"/>
    <w:rsid w:val="00292224"/>
    <w:rsid w:val="00292B2E"/>
    <w:rsid w:val="00292E91"/>
    <w:rsid w:val="002940F8"/>
    <w:rsid w:val="002948D0"/>
    <w:rsid w:val="00296AEA"/>
    <w:rsid w:val="00297817"/>
    <w:rsid w:val="00297B5F"/>
    <w:rsid w:val="00297E72"/>
    <w:rsid w:val="002A0DB7"/>
    <w:rsid w:val="002A12A9"/>
    <w:rsid w:val="002A2A2B"/>
    <w:rsid w:val="002A334C"/>
    <w:rsid w:val="002A33D5"/>
    <w:rsid w:val="002A3830"/>
    <w:rsid w:val="002A3B72"/>
    <w:rsid w:val="002A4E24"/>
    <w:rsid w:val="002A53F6"/>
    <w:rsid w:val="002A61E6"/>
    <w:rsid w:val="002A6379"/>
    <w:rsid w:val="002A6718"/>
    <w:rsid w:val="002B147A"/>
    <w:rsid w:val="002B301B"/>
    <w:rsid w:val="002B392B"/>
    <w:rsid w:val="002B40A4"/>
    <w:rsid w:val="002B4766"/>
    <w:rsid w:val="002B4EA5"/>
    <w:rsid w:val="002B65EC"/>
    <w:rsid w:val="002B76C9"/>
    <w:rsid w:val="002C0955"/>
    <w:rsid w:val="002C12E6"/>
    <w:rsid w:val="002C1862"/>
    <w:rsid w:val="002C1E30"/>
    <w:rsid w:val="002C34CD"/>
    <w:rsid w:val="002C3870"/>
    <w:rsid w:val="002C38C2"/>
    <w:rsid w:val="002C3AA7"/>
    <w:rsid w:val="002C45AD"/>
    <w:rsid w:val="002C630E"/>
    <w:rsid w:val="002C6741"/>
    <w:rsid w:val="002D056A"/>
    <w:rsid w:val="002D104E"/>
    <w:rsid w:val="002D1522"/>
    <w:rsid w:val="002D2C7D"/>
    <w:rsid w:val="002D4DAB"/>
    <w:rsid w:val="002D54E8"/>
    <w:rsid w:val="002D7126"/>
    <w:rsid w:val="002D7D3B"/>
    <w:rsid w:val="002E0C05"/>
    <w:rsid w:val="002E1023"/>
    <w:rsid w:val="002E1331"/>
    <w:rsid w:val="002E156B"/>
    <w:rsid w:val="002E1D13"/>
    <w:rsid w:val="002E297A"/>
    <w:rsid w:val="002E377F"/>
    <w:rsid w:val="002E4B1E"/>
    <w:rsid w:val="002E4C53"/>
    <w:rsid w:val="002E4C90"/>
    <w:rsid w:val="002E5A81"/>
    <w:rsid w:val="002E69CC"/>
    <w:rsid w:val="002E6A21"/>
    <w:rsid w:val="002E77DF"/>
    <w:rsid w:val="002F091F"/>
    <w:rsid w:val="002F1203"/>
    <w:rsid w:val="002F3A84"/>
    <w:rsid w:val="002F6411"/>
    <w:rsid w:val="002F78BD"/>
    <w:rsid w:val="002F7951"/>
    <w:rsid w:val="003011A8"/>
    <w:rsid w:val="00301ECA"/>
    <w:rsid w:val="003031B5"/>
    <w:rsid w:val="0030471E"/>
    <w:rsid w:val="0030496A"/>
    <w:rsid w:val="00305D01"/>
    <w:rsid w:val="00306663"/>
    <w:rsid w:val="003069B2"/>
    <w:rsid w:val="003078D0"/>
    <w:rsid w:val="00307912"/>
    <w:rsid w:val="00307FC9"/>
    <w:rsid w:val="00310787"/>
    <w:rsid w:val="00310DB4"/>
    <w:rsid w:val="00313290"/>
    <w:rsid w:val="00313F29"/>
    <w:rsid w:val="003156E1"/>
    <w:rsid w:val="00315921"/>
    <w:rsid w:val="00320E5F"/>
    <w:rsid w:val="00321B12"/>
    <w:rsid w:val="003233D9"/>
    <w:rsid w:val="0032465F"/>
    <w:rsid w:val="00325B55"/>
    <w:rsid w:val="00326A32"/>
    <w:rsid w:val="00326EFA"/>
    <w:rsid w:val="003270F2"/>
    <w:rsid w:val="00331BCC"/>
    <w:rsid w:val="00332635"/>
    <w:rsid w:val="00332C78"/>
    <w:rsid w:val="0033329C"/>
    <w:rsid w:val="00334758"/>
    <w:rsid w:val="0033529E"/>
    <w:rsid w:val="003353BE"/>
    <w:rsid w:val="003353CC"/>
    <w:rsid w:val="003376BD"/>
    <w:rsid w:val="0034082D"/>
    <w:rsid w:val="00342A6D"/>
    <w:rsid w:val="0034305A"/>
    <w:rsid w:val="00345F35"/>
    <w:rsid w:val="003461FB"/>
    <w:rsid w:val="00347ADE"/>
    <w:rsid w:val="00352A4E"/>
    <w:rsid w:val="003535A4"/>
    <w:rsid w:val="00353A43"/>
    <w:rsid w:val="00353A53"/>
    <w:rsid w:val="00355931"/>
    <w:rsid w:val="00355CBA"/>
    <w:rsid w:val="0035638F"/>
    <w:rsid w:val="00356E2E"/>
    <w:rsid w:val="00357274"/>
    <w:rsid w:val="003575E3"/>
    <w:rsid w:val="00357B56"/>
    <w:rsid w:val="0036015A"/>
    <w:rsid w:val="00360974"/>
    <w:rsid w:val="00361679"/>
    <w:rsid w:val="003624D4"/>
    <w:rsid w:val="0036343E"/>
    <w:rsid w:val="0036394E"/>
    <w:rsid w:val="00363E9D"/>
    <w:rsid w:val="00364B1A"/>
    <w:rsid w:val="00365259"/>
    <w:rsid w:val="00365510"/>
    <w:rsid w:val="003659A4"/>
    <w:rsid w:val="00366011"/>
    <w:rsid w:val="00367074"/>
    <w:rsid w:val="00367B99"/>
    <w:rsid w:val="003707E2"/>
    <w:rsid w:val="00372CEE"/>
    <w:rsid w:val="00373D5E"/>
    <w:rsid w:val="00375357"/>
    <w:rsid w:val="003768B9"/>
    <w:rsid w:val="00380343"/>
    <w:rsid w:val="0038075E"/>
    <w:rsid w:val="003828B4"/>
    <w:rsid w:val="0038488D"/>
    <w:rsid w:val="00384C49"/>
    <w:rsid w:val="00384EBA"/>
    <w:rsid w:val="003852FD"/>
    <w:rsid w:val="003855A5"/>
    <w:rsid w:val="00385831"/>
    <w:rsid w:val="00385D6F"/>
    <w:rsid w:val="00386A61"/>
    <w:rsid w:val="00387050"/>
    <w:rsid w:val="003875F8"/>
    <w:rsid w:val="0039075E"/>
    <w:rsid w:val="003916DF"/>
    <w:rsid w:val="00391987"/>
    <w:rsid w:val="00392053"/>
    <w:rsid w:val="003921C4"/>
    <w:rsid w:val="00392DE6"/>
    <w:rsid w:val="00393476"/>
    <w:rsid w:val="00393488"/>
    <w:rsid w:val="0039393C"/>
    <w:rsid w:val="00395569"/>
    <w:rsid w:val="00395FD8"/>
    <w:rsid w:val="00396CDD"/>
    <w:rsid w:val="00397150"/>
    <w:rsid w:val="00397B50"/>
    <w:rsid w:val="00397DAE"/>
    <w:rsid w:val="003A14DD"/>
    <w:rsid w:val="003A2365"/>
    <w:rsid w:val="003A250E"/>
    <w:rsid w:val="003A2B91"/>
    <w:rsid w:val="003A2FC7"/>
    <w:rsid w:val="003A37BB"/>
    <w:rsid w:val="003A3EF7"/>
    <w:rsid w:val="003A5A7A"/>
    <w:rsid w:val="003A5E61"/>
    <w:rsid w:val="003A606F"/>
    <w:rsid w:val="003A6781"/>
    <w:rsid w:val="003A70C6"/>
    <w:rsid w:val="003A7480"/>
    <w:rsid w:val="003B1087"/>
    <w:rsid w:val="003B1C77"/>
    <w:rsid w:val="003B231D"/>
    <w:rsid w:val="003B2877"/>
    <w:rsid w:val="003B403F"/>
    <w:rsid w:val="003B4549"/>
    <w:rsid w:val="003B5D3C"/>
    <w:rsid w:val="003B6565"/>
    <w:rsid w:val="003B78F4"/>
    <w:rsid w:val="003B79F6"/>
    <w:rsid w:val="003C10A4"/>
    <w:rsid w:val="003C1742"/>
    <w:rsid w:val="003C1891"/>
    <w:rsid w:val="003C28AE"/>
    <w:rsid w:val="003C3572"/>
    <w:rsid w:val="003C4198"/>
    <w:rsid w:val="003C5B98"/>
    <w:rsid w:val="003C5C5F"/>
    <w:rsid w:val="003C605C"/>
    <w:rsid w:val="003C6832"/>
    <w:rsid w:val="003C70FC"/>
    <w:rsid w:val="003C7606"/>
    <w:rsid w:val="003D108F"/>
    <w:rsid w:val="003D1ABB"/>
    <w:rsid w:val="003D2E92"/>
    <w:rsid w:val="003D3A2E"/>
    <w:rsid w:val="003D4C0A"/>
    <w:rsid w:val="003D5300"/>
    <w:rsid w:val="003D5B03"/>
    <w:rsid w:val="003D7DBF"/>
    <w:rsid w:val="003E19A6"/>
    <w:rsid w:val="003E438C"/>
    <w:rsid w:val="003E4544"/>
    <w:rsid w:val="003E5BAF"/>
    <w:rsid w:val="003E7239"/>
    <w:rsid w:val="003E7DF8"/>
    <w:rsid w:val="003F037C"/>
    <w:rsid w:val="003F0840"/>
    <w:rsid w:val="003F0F85"/>
    <w:rsid w:val="003F2027"/>
    <w:rsid w:val="003F299B"/>
    <w:rsid w:val="003F2B01"/>
    <w:rsid w:val="003F3129"/>
    <w:rsid w:val="003F31DC"/>
    <w:rsid w:val="003F4A33"/>
    <w:rsid w:val="003F4BAF"/>
    <w:rsid w:val="003F50FC"/>
    <w:rsid w:val="004013F5"/>
    <w:rsid w:val="0040219A"/>
    <w:rsid w:val="00402385"/>
    <w:rsid w:val="00403F50"/>
    <w:rsid w:val="00406348"/>
    <w:rsid w:val="00406A08"/>
    <w:rsid w:val="00410264"/>
    <w:rsid w:val="00410E69"/>
    <w:rsid w:val="00411CBB"/>
    <w:rsid w:val="00411FC0"/>
    <w:rsid w:val="00412011"/>
    <w:rsid w:val="004137CE"/>
    <w:rsid w:val="00415556"/>
    <w:rsid w:val="00415DA1"/>
    <w:rsid w:val="00416600"/>
    <w:rsid w:val="00416AA5"/>
    <w:rsid w:val="00416B9B"/>
    <w:rsid w:val="0042007D"/>
    <w:rsid w:val="0042275A"/>
    <w:rsid w:val="00422FBE"/>
    <w:rsid w:val="00426967"/>
    <w:rsid w:val="00430FD4"/>
    <w:rsid w:val="00432507"/>
    <w:rsid w:val="00432881"/>
    <w:rsid w:val="00433845"/>
    <w:rsid w:val="00434DE1"/>
    <w:rsid w:val="00442235"/>
    <w:rsid w:val="00443372"/>
    <w:rsid w:val="00443489"/>
    <w:rsid w:val="00443B5A"/>
    <w:rsid w:val="00444610"/>
    <w:rsid w:val="0044575F"/>
    <w:rsid w:val="00445954"/>
    <w:rsid w:val="004500EA"/>
    <w:rsid w:val="00450160"/>
    <w:rsid w:val="00450F25"/>
    <w:rsid w:val="004511AC"/>
    <w:rsid w:val="00453107"/>
    <w:rsid w:val="00454C3D"/>
    <w:rsid w:val="00454F17"/>
    <w:rsid w:val="0045580C"/>
    <w:rsid w:val="00455D1E"/>
    <w:rsid w:val="004600AC"/>
    <w:rsid w:val="00460307"/>
    <w:rsid w:val="00460C05"/>
    <w:rsid w:val="00460C46"/>
    <w:rsid w:val="00460EDE"/>
    <w:rsid w:val="00461B55"/>
    <w:rsid w:val="00461DF5"/>
    <w:rsid w:val="00463352"/>
    <w:rsid w:val="00463AD9"/>
    <w:rsid w:val="00463C07"/>
    <w:rsid w:val="00464199"/>
    <w:rsid w:val="00464CF8"/>
    <w:rsid w:val="00465D8D"/>
    <w:rsid w:val="00466924"/>
    <w:rsid w:val="00466B43"/>
    <w:rsid w:val="004676A7"/>
    <w:rsid w:val="00467FD5"/>
    <w:rsid w:val="00470ED6"/>
    <w:rsid w:val="004718ED"/>
    <w:rsid w:val="00471D62"/>
    <w:rsid w:val="00472FDD"/>
    <w:rsid w:val="004734E3"/>
    <w:rsid w:val="00473BC1"/>
    <w:rsid w:val="0047444B"/>
    <w:rsid w:val="004749A3"/>
    <w:rsid w:val="00474D26"/>
    <w:rsid w:val="00475F05"/>
    <w:rsid w:val="004770E2"/>
    <w:rsid w:val="00477D50"/>
    <w:rsid w:val="00480631"/>
    <w:rsid w:val="00481519"/>
    <w:rsid w:val="00482194"/>
    <w:rsid w:val="00482991"/>
    <w:rsid w:val="00483EAB"/>
    <w:rsid w:val="0048420B"/>
    <w:rsid w:val="00484C3E"/>
    <w:rsid w:val="004858C1"/>
    <w:rsid w:val="00486EF7"/>
    <w:rsid w:val="00492081"/>
    <w:rsid w:val="004928C4"/>
    <w:rsid w:val="00493FD5"/>
    <w:rsid w:val="0049595B"/>
    <w:rsid w:val="004A072B"/>
    <w:rsid w:val="004A1CE0"/>
    <w:rsid w:val="004A1EDD"/>
    <w:rsid w:val="004A2AFB"/>
    <w:rsid w:val="004A2D81"/>
    <w:rsid w:val="004A3EBE"/>
    <w:rsid w:val="004A3F0E"/>
    <w:rsid w:val="004A461F"/>
    <w:rsid w:val="004A4EFE"/>
    <w:rsid w:val="004A5C80"/>
    <w:rsid w:val="004A5FD8"/>
    <w:rsid w:val="004A6735"/>
    <w:rsid w:val="004A6843"/>
    <w:rsid w:val="004A7ABE"/>
    <w:rsid w:val="004B0114"/>
    <w:rsid w:val="004B02E9"/>
    <w:rsid w:val="004B0C0D"/>
    <w:rsid w:val="004B27E8"/>
    <w:rsid w:val="004B37C4"/>
    <w:rsid w:val="004B481D"/>
    <w:rsid w:val="004B737E"/>
    <w:rsid w:val="004B7A43"/>
    <w:rsid w:val="004C023D"/>
    <w:rsid w:val="004C33A5"/>
    <w:rsid w:val="004C3BEB"/>
    <w:rsid w:val="004C4A37"/>
    <w:rsid w:val="004C4CB0"/>
    <w:rsid w:val="004C638B"/>
    <w:rsid w:val="004C6FE3"/>
    <w:rsid w:val="004D0A40"/>
    <w:rsid w:val="004D1B08"/>
    <w:rsid w:val="004D2810"/>
    <w:rsid w:val="004D31CA"/>
    <w:rsid w:val="004D3B43"/>
    <w:rsid w:val="004D432A"/>
    <w:rsid w:val="004D48D0"/>
    <w:rsid w:val="004D49D1"/>
    <w:rsid w:val="004D59DF"/>
    <w:rsid w:val="004D5CB9"/>
    <w:rsid w:val="004D799E"/>
    <w:rsid w:val="004E15A6"/>
    <w:rsid w:val="004E2C29"/>
    <w:rsid w:val="004E52DC"/>
    <w:rsid w:val="004E5493"/>
    <w:rsid w:val="004E6CAA"/>
    <w:rsid w:val="004F03D1"/>
    <w:rsid w:val="004F0459"/>
    <w:rsid w:val="004F0D43"/>
    <w:rsid w:val="004F1AED"/>
    <w:rsid w:val="004F3126"/>
    <w:rsid w:val="004F326C"/>
    <w:rsid w:val="004F44A5"/>
    <w:rsid w:val="004F516B"/>
    <w:rsid w:val="004F5F21"/>
    <w:rsid w:val="004F7DA7"/>
    <w:rsid w:val="00500AAF"/>
    <w:rsid w:val="00501DE5"/>
    <w:rsid w:val="0050247B"/>
    <w:rsid w:val="005048F1"/>
    <w:rsid w:val="0050492F"/>
    <w:rsid w:val="00505267"/>
    <w:rsid w:val="005056D1"/>
    <w:rsid w:val="00510647"/>
    <w:rsid w:val="005109D9"/>
    <w:rsid w:val="00512EFC"/>
    <w:rsid w:val="00514477"/>
    <w:rsid w:val="00517B2F"/>
    <w:rsid w:val="00517F1C"/>
    <w:rsid w:val="00520AA6"/>
    <w:rsid w:val="00520F60"/>
    <w:rsid w:val="0052173A"/>
    <w:rsid w:val="005218F8"/>
    <w:rsid w:val="005226D9"/>
    <w:rsid w:val="00522E6A"/>
    <w:rsid w:val="00524A6D"/>
    <w:rsid w:val="00524E7B"/>
    <w:rsid w:val="00525221"/>
    <w:rsid w:val="005309AE"/>
    <w:rsid w:val="00531DF4"/>
    <w:rsid w:val="005326BE"/>
    <w:rsid w:val="00532EDE"/>
    <w:rsid w:val="00533DEB"/>
    <w:rsid w:val="005357D6"/>
    <w:rsid w:val="0053670D"/>
    <w:rsid w:val="005368B6"/>
    <w:rsid w:val="00536E4A"/>
    <w:rsid w:val="00541145"/>
    <w:rsid w:val="005416B3"/>
    <w:rsid w:val="0054312D"/>
    <w:rsid w:val="00543612"/>
    <w:rsid w:val="00543F90"/>
    <w:rsid w:val="005446BB"/>
    <w:rsid w:val="00546DF2"/>
    <w:rsid w:val="005505ED"/>
    <w:rsid w:val="0055127E"/>
    <w:rsid w:val="00552E8D"/>
    <w:rsid w:val="00553876"/>
    <w:rsid w:val="00553E71"/>
    <w:rsid w:val="005547FD"/>
    <w:rsid w:val="00554E84"/>
    <w:rsid w:val="00563568"/>
    <w:rsid w:val="0056366E"/>
    <w:rsid w:val="0056389B"/>
    <w:rsid w:val="00563F2E"/>
    <w:rsid w:val="00563FD9"/>
    <w:rsid w:val="00565284"/>
    <w:rsid w:val="00570926"/>
    <w:rsid w:val="00572664"/>
    <w:rsid w:val="005729D0"/>
    <w:rsid w:val="00573514"/>
    <w:rsid w:val="00573B4C"/>
    <w:rsid w:val="0057401A"/>
    <w:rsid w:val="0057595E"/>
    <w:rsid w:val="00580CB2"/>
    <w:rsid w:val="00580FC8"/>
    <w:rsid w:val="00582571"/>
    <w:rsid w:val="00582A7C"/>
    <w:rsid w:val="0058455C"/>
    <w:rsid w:val="00586A76"/>
    <w:rsid w:val="005901E9"/>
    <w:rsid w:val="005905AA"/>
    <w:rsid w:val="00590EE1"/>
    <w:rsid w:val="00593D4C"/>
    <w:rsid w:val="00595072"/>
    <w:rsid w:val="005960B4"/>
    <w:rsid w:val="005961FA"/>
    <w:rsid w:val="00597F0B"/>
    <w:rsid w:val="005A05BD"/>
    <w:rsid w:val="005A0CFD"/>
    <w:rsid w:val="005A0D02"/>
    <w:rsid w:val="005A2792"/>
    <w:rsid w:val="005A3AE4"/>
    <w:rsid w:val="005A3C61"/>
    <w:rsid w:val="005A4ECE"/>
    <w:rsid w:val="005A50DD"/>
    <w:rsid w:val="005A510B"/>
    <w:rsid w:val="005A6674"/>
    <w:rsid w:val="005B0153"/>
    <w:rsid w:val="005B1E65"/>
    <w:rsid w:val="005B3866"/>
    <w:rsid w:val="005B3F7A"/>
    <w:rsid w:val="005B515A"/>
    <w:rsid w:val="005C1797"/>
    <w:rsid w:val="005C1CEE"/>
    <w:rsid w:val="005C2714"/>
    <w:rsid w:val="005C3DED"/>
    <w:rsid w:val="005C40BA"/>
    <w:rsid w:val="005C5392"/>
    <w:rsid w:val="005C5DF5"/>
    <w:rsid w:val="005C5FE9"/>
    <w:rsid w:val="005C634D"/>
    <w:rsid w:val="005C7146"/>
    <w:rsid w:val="005C78F0"/>
    <w:rsid w:val="005D0254"/>
    <w:rsid w:val="005D0CAB"/>
    <w:rsid w:val="005D1ADB"/>
    <w:rsid w:val="005D21AE"/>
    <w:rsid w:val="005D2FFC"/>
    <w:rsid w:val="005D3FD2"/>
    <w:rsid w:val="005D4FFF"/>
    <w:rsid w:val="005D5310"/>
    <w:rsid w:val="005D5AB9"/>
    <w:rsid w:val="005D6EA5"/>
    <w:rsid w:val="005D7CCE"/>
    <w:rsid w:val="005E08D8"/>
    <w:rsid w:val="005E1102"/>
    <w:rsid w:val="005E1A14"/>
    <w:rsid w:val="005E1B16"/>
    <w:rsid w:val="005E1B4B"/>
    <w:rsid w:val="005E24FA"/>
    <w:rsid w:val="005E4509"/>
    <w:rsid w:val="005E46EC"/>
    <w:rsid w:val="005E481E"/>
    <w:rsid w:val="005E4963"/>
    <w:rsid w:val="005E5743"/>
    <w:rsid w:val="005E5DE8"/>
    <w:rsid w:val="005E6208"/>
    <w:rsid w:val="005F0338"/>
    <w:rsid w:val="005F0C91"/>
    <w:rsid w:val="005F1250"/>
    <w:rsid w:val="005F1795"/>
    <w:rsid w:val="005F23E4"/>
    <w:rsid w:val="005F2531"/>
    <w:rsid w:val="005F2580"/>
    <w:rsid w:val="005F2777"/>
    <w:rsid w:val="005F3052"/>
    <w:rsid w:val="005F342C"/>
    <w:rsid w:val="005F4468"/>
    <w:rsid w:val="005F4CD9"/>
    <w:rsid w:val="005F5AB5"/>
    <w:rsid w:val="005F6085"/>
    <w:rsid w:val="0060134D"/>
    <w:rsid w:val="006021E1"/>
    <w:rsid w:val="006025B3"/>
    <w:rsid w:val="006032D4"/>
    <w:rsid w:val="00603CA0"/>
    <w:rsid w:val="00604FE6"/>
    <w:rsid w:val="00605F97"/>
    <w:rsid w:val="00606163"/>
    <w:rsid w:val="006063B2"/>
    <w:rsid w:val="00606894"/>
    <w:rsid w:val="006072B0"/>
    <w:rsid w:val="006074BE"/>
    <w:rsid w:val="0061130A"/>
    <w:rsid w:val="00611482"/>
    <w:rsid w:val="00612AB0"/>
    <w:rsid w:val="00613100"/>
    <w:rsid w:val="00615891"/>
    <w:rsid w:val="0061597A"/>
    <w:rsid w:val="00616BD6"/>
    <w:rsid w:val="00616EF7"/>
    <w:rsid w:val="006170F4"/>
    <w:rsid w:val="00617937"/>
    <w:rsid w:val="006208B3"/>
    <w:rsid w:val="00620E50"/>
    <w:rsid w:val="00621A79"/>
    <w:rsid w:val="00623260"/>
    <w:rsid w:val="00623CAE"/>
    <w:rsid w:val="00624CDE"/>
    <w:rsid w:val="00626393"/>
    <w:rsid w:val="00627B52"/>
    <w:rsid w:val="00630813"/>
    <w:rsid w:val="00630991"/>
    <w:rsid w:val="00631149"/>
    <w:rsid w:val="00631AB5"/>
    <w:rsid w:val="00633276"/>
    <w:rsid w:val="006348A5"/>
    <w:rsid w:val="0063504C"/>
    <w:rsid w:val="00635D00"/>
    <w:rsid w:val="00637573"/>
    <w:rsid w:val="00640AE6"/>
    <w:rsid w:val="006414F8"/>
    <w:rsid w:val="00641A66"/>
    <w:rsid w:val="006426B2"/>
    <w:rsid w:val="006430E9"/>
    <w:rsid w:val="00644002"/>
    <w:rsid w:val="006444BE"/>
    <w:rsid w:val="00644BB3"/>
    <w:rsid w:val="00644F18"/>
    <w:rsid w:val="00644FE3"/>
    <w:rsid w:val="0064695E"/>
    <w:rsid w:val="006474B9"/>
    <w:rsid w:val="0065192B"/>
    <w:rsid w:val="006519B3"/>
    <w:rsid w:val="0065242E"/>
    <w:rsid w:val="00652F79"/>
    <w:rsid w:val="00652FF4"/>
    <w:rsid w:val="00653907"/>
    <w:rsid w:val="00654F81"/>
    <w:rsid w:val="006564DE"/>
    <w:rsid w:val="00657971"/>
    <w:rsid w:val="00660806"/>
    <w:rsid w:val="00662FA0"/>
    <w:rsid w:val="00665C78"/>
    <w:rsid w:val="0066699C"/>
    <w:rsid w:val="00666D6A"/>
    <w:rsid w:val="006671E4"/>
    <w:rsid w:val="00670FC1"/>
    <w:rsid w:val="0067111E"/>
    <w:rsid w:val="00671820"/>
    <w:rsid w:val="00672030"/>
    <w:rsid w:val="0067444D"/>
    <w:rsid w:val="00674599"/>
    <w:rsid w:val="006762FA"/>
    <w:rsid w:val="00677BDD"/>
    <w:rsid w:val="00677E5E"/>
    <w:rsid w:val="006802B3"/>
    <w:rsid w:val="006804C1"/>
    <w:rsid w:val="00680AA8"/>
    <w:rsid w:val="006813B8"/>
    <w:rsid w:val="00681BEF"/>
    <w:rsid w:val="006821F4"/>
    <w:rsid w:val="0068293C"/>
    <w:rsid w:val="006829C2"/>
    <w:rsid w:val="00683BBD"/>
    <w:rsid w:val="00684309"/>
    <w:rsid w:val="006843C0"/>
    <w:rsid w:val="00685145"/>
    <w:rsid w:val="0068593A"/>
    <w:rsid w:val="00685963"/>
    <w:rsid w:val="00686801"/>
    <w:rsid w:val="00687D67"/>
    <w:rsid w:val="00690023"/>
    <w:rsid w:val="00690671"/>
    <w:rsid w:val="006909B4"/>
    <w:rsid w:val="00690D4B"/>
    <w:rsid w:val="006915AB"/>
    <w:rsid w:val="0069186C"/>
    <w:rsid w:val="00692716"/>
    <w:rsid w:val="0069346D"/>
    <w:rsid w:val="006934CE"/>
    <w:rsid w:val="00694354"/>
    <w:rsid w:val="00694CC8"/>
    <w:rsid w:val="00695978"/>
    <w:rsid w:val="00695B38"/>
    <w:rsid w:val="00695BCD"/>
    <w:rsid w:val="006962A0"/>
    <w:rsid w:val="00696921"/>
    <w:rsid w:val="006972D8"/>
    <w:rsid w:val="00697E01"/>
    <w:rsid w:val="00697FE2"/>
    <w:rsid w:val="006A05A0"/>
    <w:rsid w:val="006A18C5"/>
    <w:rsid w:val="006A3502"/>
    <w:rsid w:val="006A42A7"/>
    <w:rsid w:val="006A550F"/>
    <w:rsid w:val="006A7D3C"/>
    <w:rsid w:val="006B00FA"/>
    <w:rsid w:val="006B0F5A"/>
    <w:rsid w:val="006B1D06"/>
    <w:rsid w:val="006B3365"/>
    <w:rsid w:val="006B53E9"/>
    <w:rsid w:val="006B5906"/>
    <w:rsid w:val="006B6463"/>
    <w:rsid w:val="006B6E6E"/>
    <w:rsid w:val="006C0085"/>
    <w:rsid w:val="006C0390"/>
    <w:rsid w:val="006C0608"/>
    <w:rsid w:val="006C1F67"/>
    <w:rsid w:val="006C1FA1"/>
    <w:rsid w:val="006C2615"/>
    <w:rsid w:val="006C2F43"/>
    <w:rsid w:val="006C3B03"/>
    <w:rsid w:val="006C3E82"/>
    <w:rsid w:val="006C53DF"/>
    <w:rsid w:val="006C5FC1"/>
    <w:rsid w:val="006C6984"/>
    <w:rsid w:val="006C72F8"/>
    <w:rsid w:val="006D1706"/>
    <w:rsid w:val="006D2AC2"/>
    <w:rsid w:val="006D3019"/>
    <w:rsid w:val="006D3AAC"/>
    <w:rsid w:val="006D3B0B"/>
    <w:rsid w:val="006D4E4F"/>
    <w:rsid w:val="006E1F49"/>
    <w:rsid w:val="006E3FFE"/>
    <w:rsid w:val="006E4317"/>
    <w:rsid w:val="006E54AC"/>
    <w:rsid w:val="006E7273"/>
    <w:rsid w:val="006E7FA3"/>
    <w:rsid w:val="006F33BD"/>
    <w:rsid w:val="006F40D6"/>
    <w:rsid w:val="006F43AE"/>
    <w:rsid w:val="006F4B21"/>
    <w:rsid w:val="006F5939"/>
    <w:rsid w:val="006F5AE5"/>
    <w:rsid w:val="006F6638"/>
    <w:rsid w:val="006F7DC1"/>
    <w:rsid w:val="00701621"/>
    <w:rsid w:val="00701B09"/>
    <w:rsid w:val="00703896"/>
    <w:rsid w:val="0070543D"/>
    <w:rsid w:val="007079C7"/>
    <w:rsid w:val="00710968"/>
    <w:rsid w:val="00710FA5"/>
    <w:rsid w:val="007110C7"/>
    <w:rsid w:val="00711613"/>
    <w:rsid w:val="00711E2F"/>
    <w:rsid w:val="00716720"/>
    <w:rsid w:val="00716971"/>
    <w:rsid w:val="00720507"/>
    <w:rsid w:val="00722033"/>
    <w:rsid w:val="00722BD4"/>
    <w:rsid w:val="00723C15"/>
    <w:rsid w:val="00724C21"/>
    <w:rsid w:val="00726273"/>
    <w:rsid w:val="0072734F"/>
    <w:rsid w:val="00730461"/>
    <w:rsid w:val="00730D0B"/>
    <w:rsid w:val="00732955"/>
    <w:rsid w:val="00734D3F"/>
    <w:rsid w:val="0073670A"/>
    <w:rsid w:val="00736A41"/>
    <w:rsid w:val="007376D4"/>
    <w:rsid w:val="00737767"/>
    <w:rsid w:val="0074034C"/>
    <w:rsid w:val="0074039A"/>
    <w:rsid w:val="00740E48"/>
    <w:rsid w:val="00741BB0"/>
    <w:rsid w:val="00742288"/>
    <w:rsid w:val="00742D62"/>
    <w:rsid w:val="00745592"/>
    <w:rsid w:val="00745729"/>
    <w:rsid w:val="00745855"/>
    <w:rsid w:val="00745F72"/>
    <w:rsid w:val="00746CEA"/>
    <w:rsid w:val="00747C0A"/>
    <w:rsid w:val="0075198D"/>
    <w:rsid w:val="007521A8"/>
    <w:rsid w:val="00753019"/>
    <w:rsid w:val="00753799"/>
    <w:rsid w:val="007548C2"/>
    <w:rsid w:val="00756B5C"/>
    <w:rsid w:val="00757F98"/>
    <w:rsid w:val="00760DF9"/>
    <w:rsid w:val="00761AF8"/>
    <w:rsid w:val="00762A64"/>
    <w:rsid w:val="0076314D"/>
    <w:rsid w:val="00763433"/>
    <w:rsid w:val="007648CC"/>
    <w:rsid w:val="00764A1F"/>
    <w:rsid w:val="00765926"/>
    <w:rsid w:val="007662B3"/>
    <w:rsid w:val="007711F3"/>
    <w:rsid w:val="00775075"/>
    <w:rsid w:val="00776D0C"/>
    <w:rsid w:val="00777DFC"/>
    <w:rsid w:val="0078245F"/>
    <w:rsid w:val="0078548D"/>
    <w:rsid w:val="00786128"/>
    <w:rsid w:val="007861F4"/>
    <w:rsid w:val="007862F2"/>
    <w:rsid w:val="007905DA"/>
    <w:rsid w:val="00790DA8"/>
    <w:rsid w:val="00790F92"/>
    <w:rsid w:val="00791637"/>
    <w:rsid w:val="00792C55"/>
    <w:rsid w:val="007954B1"/>
    <w:rsid w:val="007955DD"/>
    <w:rsid w:val="0079699B"/>
    <w:rsid w:val="00797BA9"/>
    <w:rsid w:val="007A0353"/>
    <w:rsid w:val="007A0596"/>
    <w:rsid w:val="007A09FE"/>
    <w:rsid w:val="007A19A0"/>
    <w:rsid w:val="007A2247"/>
    <w:rsid w:val="007A2E65"/>
    <w:rsid w:val="007A2FEC"/>
    <w:rsid w:val="007A32C0"/>
    <w:rsid w:val="007A3DAD"/>
    <w:rsid w:val="007A5D38"/>
    <w:rsid w:val="007A6395"/>
    <w:rsid w:val="007A69DA"/>
    <w:rsid w:val="007B0C26"/>
    <w:rsid w:val="007B1ACE"/>
    <w:rsid w:val="007B1CD0"/>
    <w:rsid w:val="007B2581"/>
    <w:rsid w:val="007B409C"/>
    <w:rsid w:val="007B6796"/>
    <w:rsid w:val="007B6C80"/>
    <w:rsid w:val="007B766D"/>
    <w:rsid w:val="007B77C3"/>
    <w:rsid w:val="007C0571"/>
    <w:rsid w:val="007C06D5"/>
    <w:rsid w:val="007C32AC"/>
    <w:rsid w:val="007C3428"/>
    <w:rsid w:val="007C5B19"/>
    <w:rsid w:val="007C5C4D"/>
    <w:rsid w:val="007C74F2"/>
    <w:rsid w:val="007C7812"/>
    <w:rsid w:val="007C78B4"/>
    <w:rsid w:val="007C7C53"/>
    <w:rsid w:val="007D09C0"/>
    <w:rsid w:val="007D158B"/>
    <w:rsid w:val="007D2FC7"/>
    <w:rsid w:val="007D5DFC"/>
    <w:rsid w:val="007D5E7E"/>
    <w:rsid w:val="007D5EF6"/>
    <w:rsid w:val="007D7596"/>
    <w:rsid w:val="007D7D2A"/>
    <w:rsid w:val="007E047E"/>
    <w:rsid w:val="007E1110"/>
    <w:rsid w:val="007E18B3"/>
    <w:rsid w:val="007E4353"/>
    <w:rsid w:val="007E6A4E"/>
    <w:rsid w:val="007F04C2"/>
    <w:rsid w:val="007F0EA5"/>
    <w:rsid w:val="007F0F8C"/>
    <w:rsid w:val="007F2FC9"/>
    <w:rsid w:val="007F3762"/>
    <w:rsid w:val="007F39F4"/>
    <w:rsid w:val="007F3F79"/>
    <w:rsid w:val="007F4125"/>
    <w:rsid w:val="007F5A22"/>
    <w:rsid w:val="007F6539"/>
    <w:rsid w:val="007F720D"/>
    <w:rsid w:val="0080061E"/>
    <w:rsid w:val="0080201A"/>
    <w:rsid w:val="00803E1E"/>
    <w:rsid w:val="0080473F"/>
    <w:rsid w:val="00807CA9"/>
    <w:rsid w:val="00807E2E"/>
    <w:rsid w:val="008109B3"/>
    <w:rsid w:val="00810A6D"/>
    <w:rsid w:val="00811449"/>
    <w:rsid w:val="00811F93"/>
    <w:rsid w:val="00812CAD"/>
    <w:rsid w:val="0081310B"/>
    <w:rsid w:val="008133D2"/>
    <w:rsid w:val="00813887"/>
    <w:rsid w:val="00814518"/>
    <w:rsid w:val="00817500"/>
    <w:rsid w:val="0082013C"/>
    <w:rsid w:val="008203F4"/>
    <w:rsid w:val="00820A28"/>
    <w:rsid w:val="008218EB"/>
    <w:rsid w:val="0082336A"/>
    <w:rsid w:val="00823EE2"/>
    <w:rsid w:val="00824093"/>
    <w:rsid w:val="00824D2B"/>
    <w:rsid w:val="00824F41"/>
    <w:rsid w:val="008251A6"/>
    <w:rsid w:val="00826447"/>
    <w:rsid w:val="00826DBA"/>
    <w:rsid w:val="008301E5"/>
    <w:rsid w:val="00832E8D"/>
    <w:rsid w:val="00833B19"/>
    <w:rsid w:val="00833EC4"/>
    <w:rsid w:val="0083466D"/>
    <w:rsid w:val="00834BFB"/>
    <w:rsid w:val="00834E34"/>
    <w:rsid w:val="0083648D"/>
    <w:rsid w:val="00836805"/>
    <w:rsid w:val="0083761F"/>
    <w:rsid w:val="008418CA"/>
    <w:rsid w:val="00842B0C"/>
    <w:rsid w:val="00842C7E"/>
    <w:rsid w:val="00842C84"/>
    <w:rsid w:val="008437BA"/>
    <w:rsid w:val="00844070"/>
    <w:rsid w:val="00845490"/>
    <w:rsid w:val="00845634"/>
    <w:rsid w:val="008466AF"/>
    <w:rsid w:val="0084709F"/>
    <w:rsid w:val="00847228"/>
    <w:rsid w:val="008478F6"/>
    <w:rsid w:val="00847DF3"/>
    <w:rsid w:val="00847E88"/>
    <w:rsid w:val="00847EAE"/>
    <w:rsid w:val="00847FFB"/>
    <w:rsid w:val="00850D47"/>
    <w:rsid w:val="00853683"/>
    <w:rsid w:val="008539EB"/>
    <w:rsid w:val="008547FB"/>
    <w:rsid w:val="008558E9"/>
    <w:rsid w:val="0085734B"/>
    <w:rsid w:val="008577C9"/>
    <w:rsid w:val="00860A19"/>
    <w:rsid w:val="00860A56"/>
    <w:rsid w:val="00860A78"/>
    <w:rsid w:val="008619A7"/>
    <w:rsid w:val="00861BB0"/>
    <w:rsid w:val="00863713"/>
    <w:rsid w:val="00864CEB"/>
    <w:rsid w:val="00864D56"/>
    <w:rsid w:val="00865F86"/>
    <w:rsid w:val="00865FD6"/>
    <w:rsid w:val="008660F1"/>
    <w:rsid w:val="0086771A"/>
    <w:rsid w:val="00867C32"/>
    <w:rsid w:val="00872725"/>
    <w:rsid w:val="0087297E"/>
    <w:rsid w:val="00872CAA"/>
    <w:rsid w:val="008748C7"/>
    <w:rsid w:val="00874C9B"/>
    <w:rsid w:val="00875754"/>
    <w:rsid w:val="00875786"/>
    <w:rsid w:val="00876161"/>
    <w:rsid w:val="0087653B"/>
    <w:rsid w:val="0087679C"/>
    <w:rsid w:val="00876CCE"/>
    <w:rsid w:val="00876E14"/>
    <w:rsid w:val="00876F98"/>
    <w:rsid w:val="008773E8"/>
    <w:rsid w:val="00877436"/>
    <w:rsid w:val="008778E9"/>
    <w:rsid w:val="0088210D"/>
    <w:rsid w:val="00882BC2"/>
    <w:rsid w:val="00883006"/>
    <w:rsid w:val="00883397"/>
    <w:rsid w:val="0088556C"/>
    <w:rsid w:val="008862B5"/>
    <w:rsid w:val="008868B5"/>
    <w:rsid w:val="0088724E"/>
    <w:rsid w:val="008909A0"/>
    <w:rsid w:val="008918CE"/>
    <w:rsid w:val="00892865"/>
    <w:rsid w:val="00894691"/>
    <w:rsid w:val="008965D6"/>
    <w:rsid w:val="00896AE7"/>
    <w:rsid w:val="00897EC3"/>
    <w:rsid w:val="00897F30"/>
    <w:rsid w:val="008A197D"/>
    <w:rsid w:val="008A1AFC"/>
    <w:rsid w:val="008A2DCE"/>
    <w:rsid w:val="008A32DC"/>
    <w:rsid w:val="008A4231"/>
    <w:rsid w:val="008A47F2"/>
    <w:rsid w:val="008A5E7D"/>
    <w:rsid w:val="008A5EF9"/>
    <w:rsid w:val="008A632E"/>
    <w:rsid w:val="008A6F83"/>
    <w:rsid w:val="008B012E"/>
    <w:rsid w:val="008B0876"/>
    <w:rsid w:val="008B1C84"/>
    <w:rsid w:val="008B2424"/>
    <w:rsid w:val="008B2C8E"/>
    <w:rsid w:val="008B3053"/>
    <w:rsid w:val="008B4B74"/>
    <w:rsid w:val="008B5977"/>
    <w:rsid w:val="008C013D"/>
    <w:rsid w:val="008C3233"/>
    <w:rsid w:val="008C448D"/>
    <w:rsid w:val="008C489C"/>
    <w:rsid w:val="008C62B7"/>
    <w:rsid w:val="008C6728"/>
    <w:rsid w:val="008D0C83"/>
    <w:rsid w:val="008D1AC6"/>
    <w:rsid w:val="008D1EEC"/>
    <w:rsid w:val="008D2A8E"/>
    <w:rsid w:val="008D4636"/>
    <w:rsid w:val="008D4971"/>
    <w:rsid w:val="008D7D3E"/>
    <w:rsid w:val="008E1ADF"/>
    <w:rsid w:val="008E4238"/>
    <w:rsid w:val="008E5A7D"/>
    <w:rsid w:val="008E6B65"/>
    <w:rsid w:val="008E70F5"/>
    <w:rsid w:val="008E71B1"/>
    <w:rsid w:val="008F006B"/>
    <w:rsid w:val="008F018E"/>
    <w:rsid w:val="008F0FEE"/>
    <w:rsid w:val="008F11E1"/>
    <w:rsid w:val="008F124B"/>
    <w:rsid w:val="008F3A82"/>
    <w:rsid w:val="008F4105"/>
    <w:rsid w:val="008F471D"/>
    <w:rsid w:val="008F4B19"/>
    <w:rsid w:val="008F5342"/>
    <w:rsid w:val="008F58F1"/>
    <w:rsid w:val="008F6101"/>
    <w:rsid w:val="008F6471"/>
    <w:rsid w:val="00901591"/>
    <w:rsid w:val="009016F5"/>
    <w:rsid w:val="00902E0E"/>
    <w:rsid w:val="00902E28"/>
    <w:rsid w:val="00903A36"/>
    <w:rsid w:val="00903E94"/>
    <w:rsid w:val="00905BAE"/>
    <w:rsid w:val="00905D08"/>
    <w:rsid w:val="0090616D"/>
    <w:rsid w:val="00906AFB"/>
    <w:rsid w:val="00906C01"/>
    <w:rsid w:val="0091130B"/>
    <w:rsid w:val="009115EE"/>
    <w:rsid w:val="009116DA"/>
    <w:rsid w:val="00912F09"/>
    <w:rsid w:val="0091368F"/>
    <w:rsid w:val="00914992"/>
    <w:rsid w:val="00914C06"/>
    <w:rsid w:val="00915046"/>
    <w:rsid w:val="00916CA1"/>
    <w:rsid w:val="00916DD4"/>
    <w:rsid w:val="00920A51"/>
    <w:rsid w:val="00921258"/>
    <w:rsid w:val="00921D83"/>
    <w:rsid w:val="009220A4"/>
    <w:rsid w:val="00922D0B"/>
    <w:rsid w:val="009233C2"/>
    <w:rsid w:val="00924007"/>
    <w:rsid w:val="00924347"/>
    <w:rsid w:val="00927726"/>
    <w:rsid w:val="00927D92"/>
    <w:rsid w:val="009301E6"/>
    <w:rsid w:val="009328FA"/>
    <w:rsid w:val="00933490"/>
    <w:rsid w:val="009342D2"/>
    <w:rsid w:val="00935FA6"/>
    <w:rsid w:val="009364B5"/>
    <w:rsid w:val="00942387"/>
    <w:rsid w:val="00942C80"/>
    <w:rsid w:val="00944799"/>
    <w:rsid w:val="00945945"/>
    <w:rsid w:val="00946645"/>
    <w:rsid w:val="0094738A"/>
    <w:rsid w:val="009506A1"/>
    <w:rsid w:val="009510E7"/>
    <w:rsid w:val="00953FE1"/>
    <w:rsid w:val="009551CD"/>
    <w:rsid w:val="009568E1"/>
    <w:rsid w:val="00957DF7"/>
    <w:rsid w:val="00960146"/>
    <w:rsid w:val="00960686"/>
    <w:rsid w:val="00960F8C"/>
    <w:rsid w:val="0096119A"/>
    <w:rsid w:val="00961B67"/>
    <w:rsid w:val="00963332"/>
    <w:rsid w:val="0096382C"/>
    <w:rsid w:val="00964445"/>
    <w:rsid w:val="00964616"/>
    <w:rsid w:val="009647E6"/>
    <w:rsid w:val="009648D6"/>
    <w:rsid w:val="00966097"/>
    <w:rsid w:val="00966723"/>
    <w:rsid w:val="009669F8"/>
    <w:rsid w:val="00966D5F"/>
    <w:rsid w:val="00967880"/>
    <w:rsid w:val="00970FBE"/>
    <w:rsid w:val="00971C08"/>
    <w:rsid w:val="00971E6B"/>
    <w:rsid w:val="009721A3"/>
    <w:rsid w:val="0097292F"/>
    <w:rsid w:val="00974DF4"/>
    <w:rsid w:val="00974F40"/>
    <w:rsid w:val="00975198"/>
    <w:rsid w:val="00977211"/>
    <w:rsid w:val="00980285"/>
    <w:rsid w:val="00981BDB"/>
    <w:rsid w:val="00983025"/>
    <w:rsid w:val="009835E8"/>
    <w:rsid w:val="0098377A"/>
    <w:rsid w:val="00983F39"/>
    <w:rsid w:val="00984600"/>
    <w:rsid w:val="00984907"/>
    <w:rsid w:val="009853AE"/>
    <w:rsid w:val="009871A8"/>
    <w:rsid w:val="009875CA"/>
    <w:rsid w:val="00990113"/>
    <w:rsid w:val="0099048E"/>
    <w:rsid w:val="00990597"/>
    <w:rsid w:val="00990862"/>
    <w:rsid w:val="00990B94"/>
    <w:rsid w:val="00991307"/>
    <w:rsid w:val="00992E05"/>
    <w:rsid w:val="00993F19"/>
    <w:rsid w:val="00994DB1"/>
    <w:rsid w:val="009953A2"/>
    <w:rsid w:val="00995855"/>
    <w:rsid w:val="00996611"/>
    <w:rsid w:val="009970D9"/>
    <w:rsid w:val="009A026E"/>
    <w:rsid w:val="009A0FB2"/>
    <w:rsid w:val="009A1C12"/>
    <w:rsid w:val="009A275E"/>
    <w:rsid w:val="009A29A2"/>
    <w:rsid w:val="009A5A6C"/>
    <w:rsid w:val="009A6A79"/>
    <w:rsid w:val="009A6D1A"/>
    <w:rsid w:val="009A6DCE"/>
    <w:rsid w:val="009B1194"/>
    <w:rsid w:val="009B12B7"/>
    <w:rsid w:val="009B1637"/>
    <w:rsid w:val="009B19D2"/>
    <w:rsid w:val="009B2667"/>
    <w:rsid w:val="009B2D6B"/>
    <w:rsid w:val="009B42E0"/>
    <w:rsid w:val="009B4513"/>
    <w:rsid w:val="009B4F44"/>
    <w:rsid w:val="009C17DF"/>
    <w:rsid w:val="009C4CE8"/>
    <w:rsid w:val="009C5809"/>
    <w:rsid w:val="009C674B"/>
    <w:rsid w:val="009C7982"/>
    <w:rsid w:val="009C7BB0"/>
    <w:rsid w:val="009D0564"/>
    <w:rsid w:val="009D139D"/>
    <w:rsid w:val="009D4014"/>
    <w:rsid w:val="009D518C"/>
    <w:rsid w:val="009D6B53"/>
    <w:rsid w:val="009D6E6E"/>
    <w:rsid w:val="009E1868"/>
    <w:rsid w:val="009E57AF"/>
    <w:rsid w:val="009E63C2"/>
    <w:rsid w:val="009E72D0"/>
    <w:rsid w:val="009E745F"/>
    <w:rsid w:val="009F005B"/>
    <w:rsid w:val="009F1100"/>
    <w:rsid w:val="009F15DA"/>
    <w:rsid w:val="009F1D12"/>
    <w:rsid w:val="009F1DC8"/>
    <w:rsid w:val="009F2396"/>
    <w:rsid w:val="009F35F6"/>
    <w:rsid w:val="009F3A6E"/>
    <w:rsid w:val="009F3F67"/>
    <w:rsid w:val="009F485F"/>
    <w:rsid w:val="009F5707"/>
    <w:rsid w:val="009F5AF5"/>
    <w:rsid w:val="009F5FC6"/>
    <w:rsid w:val="009F6A3A"/>
    <w:rsid w:val="009F717B"/>
    <w:rsid w:val="00A002D1"/>
    <w:rsid w:val="00A00884"/>
    <w:rsid w:val="00A00991"/>
    <w:rsid w:val="00A00E03"/>
    <w:rsid w:val="00A010F5"/>
    <w:rsid w:val="00A018EF"/>
    <w:rsid w:val="00A01FA9"/>
    <w:rsid w:val="00A02940"/>
    <w:rsid w:val="00A02B0B"/>
    <w:rsid w:val="00A02E74"/>
    <w:rsid w:val="00A02F1D"/>
    <w:rsid w:val="00A03625"/>
    <w:rsid w:val="00A04159"/>
    <w:rsid w:val="00A04529"/>
    <w:rsid w:val="00A07F4F"/>
    <w:rsid w:val="00A10A76"/>
    <w:rsid w:val="00A13003"/>
    <w:rsid w:val="00A13573"/>
    <w:rsid w:val="00A14550"/>
    <w:rsid w:val="00A1796E"/>
    <w:rsid w:val="00A2029D"/>
    <w:rsid w:val="00A21CF7"/>
    <w:rsid w:val="00A222A1"/>
    <w:rsid w:val="00A22A90"/>
    <w:rsid w:val="00A24F1A"/>
    <w:rsid w:val="00A251F2"/>
    <w:rsid w:val="00A258C6"/>
    <w:rsid w:val="00A26B70"/>
    <w:rsid w:val="00A3032F"/>
    <w:rsid w:val="00A3123E"/>
    <w:rsid w:val="00A32500"/>
    <w:rsid w:val="00A32843"/>
    <w:rsid w:val="00A336AF"/>
    <w:rsid w:val="00A40ADC"/>
    <w:rsid w:val="00A41B3E"/>
    <w:rsid w:val="00A41CF0"/>
    <w:rsid w:val="00A41D15"/>
    <w:rsid w:val="00A420DE"/>
    <w:rsid w:val="00A430EF"/>
    <w:rsid w:val="00A4718C"/>
    <w:rsid w:val="00A5026C"/>
    <w:rsid w:val="00A50466"/>
    <w:rsid w:val="00A50B38"/>
    <w:rsid w:val="00A510E8"/>
    <w:rsid w:val="00A5114F"/>
    <w:rsid w:val="00A5179B"/>
    <w:rsid w:val="00A52AF3"/>
    <w:rsid w:val="00A52C80"/>
    <w:rsid w:val="00A53895"/>
    <w:rsid w:val="00A53C18"/>
    <w:rsid w:val="00A5518F"/>
    <w:rsid w:val="00A552FF"/>
    <w:rsid w:val="00A55D7F"/>
    <w:rsid w:val="00A56E89"/>
    <w:rsid w:val="00A60158"/>
    <w:rsid w:val="00A60411"/>
    <w:rsid w:val="00A626E9"/>
    <w:rsid w:val="00A627AB"/>
    <w:rsid w:val="00A62F3C"/>
    <w:rsid w:val="00A67503"/>
    <w:rsid w:val="00A67C3A"/>
    <w:rsid w:val="00A7006F"/>
    <w:rsid w:val="00A7159B"/>
    <w:rsid w:val="00A719E0"/>
    <w:rsid w:val="00A71FCE"/>
    <w:rsid w:val="00A7459A"/>
    <w:rsid w:val="00A745DE"/>
    <w:rsid w:val="00A74C4E"/>
    <w:rsid w:val="00A75137"/>
    <w:rsid w:val="00A753E0"/>
    <w:rsid w:val="00A754A5"/>
    <w:rsid w:val="00A7559B"/>
    <w:rsid w:val="00A75CFF"/>
    <w:rsid w:val="00A76672"/>
    <w:rsid w:val="00A833DB"/>
    <w:rsid w:val="00A83641"/>
    <w:rsid w:val="00A84F18"/>
    <w:rsid w:val="00A857AE"/>
    <w:rsid w:val="00A85B29"/>
    <w:rsid w:val="00A877C6"/>
    <w:rsid w:val="00A87E64"/>
    <w:rsid w:val="00A9130F"/>
    <w:rsid w:val="00A91F53"/>
    <w:rsid w:val="00A921B4"/>
    <w:rsid w:val="00A92BD8"/>
    <w:rsid w:val="00A955C7"/>
    <w:rsid w:val="00A9692B"/>
    <w:rsid w:val="00A97A60"/>
    <w:rsid w:val="00AA180E"/>
    <w:rsid w:val="00AA2869"/>
    <w:rsid w:val="00AA34DB"/>
    <w:rsid w:val="00AA39AB"/>
    <w:rsid w:val="00AA47CA"/>
    <w:rsid w:val="00AA5552"/>
    <w:rsid w:val="00AA6323"/>
    <w:rsid w:val="00AA6B54"/>
    <w:rsid w:val="00AA7181"/>
    <w:rsid w:val="00AA725B"/>
    <w:rsid w:val="00AB2CCE"/>
    <w:rsid w:val="00AB407E"/>
    <w:rsid w:val="00AB4867"/>
    <w:rsid w:val="00AB4A0C"/>
    <w:rsid w:val="00AC012E"/>
    <w:rsid w:val="00AC0572"/>
    <w:rsid w:val="00AC08AA"/>
    <w:rsid w:val="00AC0DB1"/>
    <w:rsid w:val="00AC0DF9"/>
    <w:rsid w:val="00AC4046"/>
    <w:rsid w:val="00AC4A44"/>
    <w:rsid w:val="00AC5EA4"/>
    <w:rsid w:val="00AC7063"/>
    <w:rsid w:val="00AD2ABB"/>
    <w:rsid w:val="00AD300B"/>
    <w:rsid w:val="00AD429D"/>
    <w:rsid w:val="00AD4EE1"/>
    <w:rsid w:val="00AD6406"/>
    <w:rsid w:val="00AD6D70"/>
    <w:rsid w:val="00AD7393"/>
    <w:rsid w:val="00AD77F6"/>
    <w:rsid w:val="00AD7B5D"/>
    <w:rsid w:val="00AE0FBF"/>
    <w:rsid w:val="00AE2E59"/>
    <w:rsid w:val="00AE5512"/>
    <w:rsid w:val="00AF1ADB"/>
    <w:rsid w:val="00AF1C8E"/>
    <w:rsid w:val="00AF32D0"/>
    <w:rsid w:val="00AF3A4C"/>
    <w:rsid w:val="00AF3CBC"/>
    <w:rsid w:val="00AF4DBF"/>
    <w:rsid w:val="00AF5174"/>
    <w:rsid w:val="00AF56D5"/>
    <w:rsid w:val="00AF7408"/>
    <w:rsid w:val="00AF79DF"/>
    <w:rsid w:val="00AF7FB1"/>
    <w:rsid w:val="00B0049E"/>
    <w:rsid w:val="00B01C07"/>
    <w:rsid w:val="00B031F0"/>
    <w:rsid w:val="00B03CC7"/>
    <w:rsid w:val="00B03EA5"/>
    <w:rsid w:val="00B05820"/>
    <w:rsid w:val="00B06818"/>
    <w:rsid w:val="00B0782F"/>
    <w:rsid w:val="00B11C2D"/>
    <w:rsid w:val="00B12514"/>
    <w:rsid w:val="00B132FC"/>
    <w:rsid w:val="00B145E7"/>
    <w:rsid w:val="00B15B24"/>
    <w:rsid w:val="00B15FCC"/>
    <w:rsid w:val="00B16179"/>
    <w:rsid w:val="00B20353"/>
    <w:rsid w:val="00B20E4C"/>
    <w:rsid w:val="00B2221B"/>
    <w:rsid w:val="00B22AC8"/>
    <w:rsid w:val="00B235FA"/>
    <w:rsid w:val="00B246CB"/>
    <w:rsid w:val="00B24A99"/>
    <w:rsid w:val="00B24E3D"/>
    <w:rsid w:val="00B2539B"/>
    <w:rsid w:val="00B25B58"/>
    <w:rsid w:val="00B25E4D"/>
    <w:rsid w:val="00B25F49"/>
    <w:rsid w:val="00B26468"/>
    <w:rsid w:val="00B26E3B"/>
    <w:rsid w:val="00B27BA9"/>
    <w:rsid w:val="00B30AA2"/>
    <w:rsid w:val="00B30BFA"/>
    <w:rsid w:val="00B316AD"/>
    <w:rsid w:val="00B32622"/>
    <w:rsid w:val="00B32E1A"/>
    <w:rsid w:val="00B33D2C"/>
    <w:rsid w:val="00B34A73"/>
    <w:rsid w:val="00B350A4"/>
    <w:rsid w:val="00B3513D"/>
    <w:rsid w:val="00B3535B"/>
    <w:rsid w:val="00B3766A"/>
    <w:rsid w:val="00B37E35"/>
    <w:rsid w:val="00B4027E"/>
    <w:rsid w:val="00B410EC"/>
    <w:rsid w:val="00B4128E"/>
    <w:rsid w:val="00B4159F"/>
    <w:rsid w:val="00B42E2D"/>
    <w:rsid w:val="00B42FF4"/>
    <w:rsid w:val="00B43136"/>
    <w:rsid w:val="00B4498B"/>
    <w:rsid w:val="00B44E7C"/>
    <w:rsid w:val="00B451AB"/>
    <w:rsid w:val="00B4573E"/>
    <w:rsid w:val="00B45C74"/>
    <w:rsid w:val="00B4629C"/>
    <w:rsid w:val="00B51B6C"/>
    <w:rsid w:val="00B53912"/>
    <w:rsid w:val="00B56183"/>
    <w:rsid w:val="00B5620E"/>
    <w:rsid w:val="00B57815"/>
    <w:rsid w:val="00B60A1E"/>
    <w:rsid w:val="00B6114F"/>
    <w:rsid w:val="00B611B0"/>
    <w:rsid w:val="00B61687"/>
    <w:rsid w:val="00B61A3E"/>
    <w:rsid w:val="00B61F0E"/>
    <w:rsid w:val="00B6315B"/>
    <w:rsid w:val="00B63736"/>
    <w:rsid w:val="00B637FA"/>
    <w:rsid w:val="00B647DC"/>
    <w:rsid w:val="00B65558"/>
    <w:rsid w:val="00B66970"/>
    <w:rsid w:val="00B66A57"/>
    <w:rsid w:val="00B66C08"/>
    <w:rsid w:val="00B671CD"/>
    <w:rsid w:val="00B7124D"/>
    <w:rsid w:val="00B719B8"/>
    <w:rsid w:val="00B72B6B"/>
    <w:rsid w:val="00B745EA"/>
    <w:rsid w:val="00B74DED"/>
    <w:rsid w:val="00B74EA1"/>
    <w:rsid w:val="00B750A4"/>
    <w:rsid w:val="00B77F3F"/>
    <w:rsid w:val="00B80F3F"/>
    <w:rsid w:val="00B82665"/>
    <w:rsid w:val="00B83524"/>
    <w:rsid w:val="00B83574"/>
    <w:rsid w:val="00B852F8"/>
    <w:rsid w:val="00B85955"/>
    <w:rsid w:val="00B86CEC"/>
    <w:rsid w:val="00B916F6"/>
    <w:rsid w:val="00B92466"/>
    <w:rsid w:val="00B9259F"/>
    <w:rsid w:val="00B92D3E"/>
    <w:rsid w:val="00B95FC8"/>
    <w:rsid w:val="00B969E0"/>
    <w:rsid w:val="00B96C7B"/>
    <w:rsid w:val="00BA1F15"/>
    <w:rsid w:val="00BA435A"/>
    <w:rsid w:val="00BA44E7"/>
    <w:rsid w:val="00BA49DC"/>
    <w:rsid w:val="00BA5BAA"/>
    <w:rsid w:val="00BA626E"/>
    <w:rsid w:val="00BA6486"/>
    <w:rsid w:val="00BA73BA"/>
    <w:rsid w:val="00BB055D"/>
    <w:rsid w:val="00BB0846"/>
    <w:rsid w:val="00BB3718"/>
    <w:rsid w:val="00BB3B76"/>
    <w:rsid w:val="00BB509E"/>
    <w:rsid w:val="00BC03C3"/>
    <w:rsid w:val="00BC0F2C"/>
    <w:rsid w:val="00BC1536"/>
    <w:rsid w:val="00BC2E66"/>
    <w:rsid w:val="00BC31EC"/>
    <w:rsid w:val="00BC3B50"/>
    <w:rsid w:val="00BC415E"/>
    <w:rsid w:val="00BC4AB2"/>
    <w:rsid w:val="00BC5266"/>
    <w:rsid w:val="00BC5FE1"/>
    <w:rsid w:val="00BC65A8"/>
    <w:rsid w:val="00BC69F8"/>
    <w:rsid w:val="00BC6A2F"/>
    <w:rsid w:val="00BC7A45"/>
    <w:rsid w:val="00BD3D5A"/>
    <w:rsid w:val="00BD4988"/>
    <w:rsid w:val="00BD5F40"/>
    <w:rsid w:val="00BD67A1"/>
    <w:rsid w:val="00BD6E53"/>
    <w:rsid w:val="00BD6FD1"/>
    <w:rsid w:val="00BD7A74"/>
    <w:rsid w:val="00BE062A"/>
    <w:rsid w:val="00BE1C44"/>
    <w:rsid w:val="00BE220B"/>
    <w:rsid w:val="00BE2FC1"/>
    <w:rsid w:val="00BE545B"/>
    <w:rsid w:val="00BE5949"/>
    <w:rsid w:val="00BE5E7E"/>
    <w:rsid w:val="00BE73CC"/>
    <w:rsid w:val="00BE7DB9"/>
    <w:rsid w:val="00BF1910"/>
    <w:rsid w:val="00BF2361"/>
    <w:rsid w:val="00BF5D53"/>
    <w:rsid w:val="00BF713A"/>
    <w:rsid w:val="00BF7777"/>
    <w:rsid w:val="00C01ED6"/>
    <w:rsid w:val="00C038BA"/>
    <w:rsid w:val="00C03E97"/>
    <w:rsid w:val="00C04089"/>
    <w:rsid w:val="00C04577"/>
    <w:rsid w:val="00C07169"/>
    <w:rsid w:val="00C07FB2"/>
    <w:rsid w:val="00C10722"/>
    <w:rsid w:val="00C118A3"/>
    <w:rsid w:val="00C1238F"/>
    <w:rsid w:val="00C12E18"/>
    <w:rsid w:val="00C1350D"/>
    <w:rsid w:val="00C1465F"/>
    <w:rsid w:val="00C16078"/>
    <w:rsid w:val="00C16115"/>
    <w:rsid w:val="00C20B7D"/>
    <w:rsid w:val="00C217BD"/>
    <w:rsid w:val="00C219C9"/>
    <w:rsid w:val="00C2234B"/>
    <w:rsid w:val="00C23C27"/>
    <w:rsid w:val="00C23CBD"/>
    <w:rsid w:val="00C24319"/>
    <w:rsid w:val="00C26154"/>
    <w:rsid w:val="00C268D2"/>
    <w:rsid w:val="00C26DAA"/>
    <w:rsid w:val="00C30961"/>
    <w:rsid w:val="00C3146F"/>
    <w:rsid w:val="00C31B8F"/>
    <w:rsid w:val="00C32E88"/>
    <w:rsid w:val="00C3300D"/>
    <w:rsid w:val="00C3374F"/>
    <w:rsid w:val="00C3410C"/>
    <w:rsid w:val="00C34F83"/>
    <w:rsid w:val="00C35AE0"/>
    <w:rsid w:val="00C35E99"/>
    <w:rsid w:val="00C362EA"/>
    <w:rsid w:val="00C369AD"/>
    <w:rsid w:val="00C37ABF"/>
    <w:rsid w:val="00C4191E"/>
    <w:rsid w:val="00C41BC1"/>
    <w:rsid w:val="00C42E52"/>
    <w:rsid w:val="00C43724"/>
    <w:rsid w:val="00C44635"/>
    <w:rsid w:val="00C4495E"/>
    <w:rsid w:val="00C450D7"/>
    <w:rsid w:val="00C457A1"/>
    <w:rsid w:val="00C4603C"/>
    <w:rsid w:val="00C479D3"/>
    <w:rsid w:val="00C47F58"/>
    <w:rsid w:val="00C50DB1"/>
    <w:rsid w:val="00C515D4"/>
    <w:rsid w:val="00C51FE2"/>
    <w:rsid w:val="00C53A54"/>
    <w:rsid w:val="00C54550"/>
    <w:rsid w:val="00C5470A"/>
    <w:rsid w:val="00C5545D"/>
    <w:rsid w:val="00C55E37"/>
    <w:rsid w:val="00C55EA4"/>
    <w:rsid w:val="00C571C5"/>
    <w:rsid w:val="00C578AB"/>
    <w:rsid w:val="00C610AE"/>
    <w:rsid w:val="00C61563"/>
    <w:rsid w:val="00C61A0E"/>
    <w:rsid w:val="00C6222C"/>
    <w:rsid w:val="00C624A7"/>
    <w:rsid w:val="00C63F55"/>
    <w:rsid w:val="00C642D9"/>
    <w:rsid w:val="00C64DED"/>
    <w:rsid w:val="00C64E3F"/>
    <w:rsid w:val="00C655A8"/>
    <w:rsid w:val="00C657F7"/>
    <w:rsid w:val="00C67145"/>
    <w:rsid w:val="00C67B2A"/>
    <w:rsid w:val="00C67C52"/>
    <w:rsid w:val="00C706FF"/>
    <w:rsid w:val="00C715F0"/>
    <w:rsid w:val="00C72641"/>
    <w:rsid w:val="00C751E3"/>
    <w:rsid w:val="00C7580A"/>
    <w:rsid w:val="00C7650D"/>
    <w:rsid w:val="00C80AE0"/>
    <w:rsid w:val="00C80BF7"/>
    <w:rsid w:val="00C82F05"/>
    <w:rsid w:val="00C8461B"/>
    <w:rsid w:val="00C866B3"/>
    <w:rsid w:val="00C87D4C"/>
    <w:rsid w:val="00C91818"/>
    <w:rsid w:val="00C924A3"/>
    <w:rsid w:val="00C92A96"/>
    <w:rsid w:val="00C93B4B"/>
    <w:rsid w:val="00C946CF"/>
    <w:rsid w:val="00CA001D"/>
    <w:rsid w:val="00CA008E"/>
    <w:rsid w:val="00CA039D"/>
    <w:rsid w:val="00CA2209"/>
    <w:rsid w:val="00CA246A"/>
    <w:rsid w:val="00CA3120"/>
    <w:rsid w:val="00CA5AC8"/>
    <w:rsid w:val="00CA62E4"/>
    <w:rsid w:val="00CA789B"/>
    <w:rsid w:val="00CB1005"/>
    <w:rsid w:val="00CB139A"/>
    <w:rsid w:val="00CB19E1"/>
    <w:rsid w:val="00CB1F2E"/>
    <w:rsid w:val="00CB2081"/>
    <w:rsid w:val="00CB29FC"/>
    <w:rsid w:val="00CB2A22"/>
    <w:rsid w:val="00CB2B13"/>
    <w:rsid w:val="00CB3399"/>
    <w:rsid w:val="00CB399B"/>
    <w:rsid w:val="00CB45CD"/>
    <w:rsid w:val="00CC0117"/>
    <w:rsid w:val="00CC0FDB"/>
    <w:rsid w:val="00CC4B96"/>
    <w:rsid w:val="00CC54E5"/>
    <w:rsid w:val="00CC5954"/>
    <w:rsid w:val="00CC6897"/>
    <w:rsid w:val="00CD2151"/>
    <w:rsid w:val="00CD2229"/>
    <w:rsid w:val="00CD3428"/>
    <w:rsid w:val="00CD3AF6"/>
    <w:rsid w:val="00CD3E48"/>
    <w:rsid w:val="00CD47B5"/>
    <w:rsid w:val="00CD5922"/>
    <w:rsid w:val="00CD5ADB"/>
    <w:rsid w:val="00CD68DC"/>
    <w:rsid w:val="00CE003E"/>
    <w:rsid w:val="00CE023E"/>
    <w:rsid w:val="00CE05C3"/>
    <w:rsid w:val="00CE12CE"/>
    <w:rsid w:val="00CE1CA4"/>
    <w:rsid w:val="00CE3A94"/>
    <w:rsid w:val="00CE3C99"/>
    <w:rsid w:val="00CE468F"/>
    <w:rsid w:val="00CE54F5"/>
    <w:rsid w:val="00CE62EE"/>
    <w:rsid w:val="00CE7157"/>
    <w:rsid w:val="00CE7E4C"/>
    <w:rsid w:val="00CF0782"/>
    <w:rsid w:val="00CF1C8D"/>
    <w:rsid w:val="00CF2460"/>
    <w:rsid w:val="00CF29F8"/>
    <w:rsid w:val="00CF2F61"/>
    <w:rsid w:val="00CF35B6"/>
    <w:rsid w:val="00CF6B1D"/>
    <w:rsid w:val="00CF6B4E"/>
    <w:rsid w:val="00D00B65"/>
    <w:rsid w:val="00D02E34"/>
    <w:rsid w:val="00D04728"/>
    <w:rsid w:val="00D051F0"/>
    <w:rsid w:val="00D06EFC"/>
    <w:rsid w:val="00D103BD"/>
    <w:rsid w:val="00D103EF"/>
    <w:rsid w:val="00D10835"/>
    <w:rsid w:val="00D10F56"/>
    <w:rsid w:val="00D1164A"/>
    <w:rsid w:val="00D1324E"/>
    <w:rsid w:val="00D13C60"/>
    <w:rsid w:val="00D14014"/>
    <w:rsid w:val="00D1551C"/>
    <w:rsid w:val="00D1692D"/>
    <w:rsid w:val="00D16F94"/>
    <w:rsid w:val="00D21659"/>
    <w:rsid w:val="00D23511"/>
    <w:rsid w:val="00D23669"/>
    <w:rsid w:val="00D250DC"/>
    <w:rsid w:val="00D25FD4"/>
    <w:rsid w:val="00D26C87"/>
    <w:rsid w:val="00D27E45"/>
    <w:rsid w:val="00D30181"/>
    <w:rsid w:val="00D309A7"/>
    <w:rsid w:val="00D31345"/>
    <w:rsid w:val="00D331CD"/>
    <w:rsid w:val="00D3429D"/>
    <w:rsid w:val="00D349A1"/>
    <w:rsid w:val="00D35335"/>
    <w:rsid w:val="00D36E83"/>
    <w:rsid w:val="00D3767F"/>
    <w:rsid w:val="00D377D0"/>
    <w:rsid w:val="00D37CE0"/>
    <w:rsid w:val="00D416AE"/>
    <w:rsid w:val="00D43C1C"/>
    <w:rsid w:val="00D43CDE"/>
    <w:rsid w:val="00D46AF7"/>
    <w:rsid w:val="00D471E1"/>
    <w:rsid w:val="00D535EB"/>
    <w:rsid w:val="00D5382F"/>
    <w:rsid w:val="00D53C1C"/>
    <w:rsid w:val="00D55965"/>
    <w:rsid w:val="00D60483"/>
    <w:rsid w:val="00D60856"/>
    <w:rsid w:val="00D6151C"/>
    <w:rsid w:val="00D61DFB"/>
    <w:rsid w:val="00D633D1"/>
    <w:rsid w:val="00D638C4"/>
    <w:rsid w:val="00D65E6E"/>
    <w:rsid w:val="00D66D38"/>
    <w:rsid w:val="00D66E32"/>
    <w:rsid w:val="00D678E6"/>
    <w:rsid w:val="00D67999"/>
    <w:rsid w:val="00D70225"/>
    <w:rsid w:val="00D713E4"/>
    <w:rsid w:val="00D730C4"/>
    <w:rsid w:val="00D739DC"/>
    <w:rsid w:val="00D7475A"/>
    <w:rsid w:val="00D756F4"/>
    <w:rsid w:val="00D75A19"/>
    <w:rsid w:val="00D763A6"/>
    <w:rsid w:val="00D76701"/>
    <w:rsid w:val="00D81702"/>
    <w:rsid w:val="00D82D0F"/>
    <w:rsid w:val="00D838C8"/>
    <w:rsid w:val="00D843F9"/>
    <w:rsid w:val="00D845C3"/>
    <w:rsid w:val="00D85424"/>
    <w:rsid w:val="00D867C6"/>
    <w:rsid w:val="00D86931"/>
    <w:rsid w:val="00D86C97"/>
    <w:rsid w:val="00D90B2A"/>
    <w:rsid w:val="00D90BF7"/>
    <w:rsid w:val="00D90DA3"/>
    <w:rsid w:val="00D91265"/>
    <w:rsid w:val="00D915D7"/>
    <w:rsid w:val="00D92B27"/>
    <w:rsid w:val="00D92EDD"/>
    <w:rsid w:val="00D9329D"/>
    <w:rsid w:val="00D93471"/>
    <w:rsid w:val="00D937E2"/>
    <w:rsid w:val="00D93CF3"/>
    <w:rsid w:val="00D95563"/>
    <w:rsid w:val="00D96801"/>
    <w:rsid w:val="00D96EA3"/>
    <w:rsid w:val="00DA0220"/>
    <w:rsid w:val="00DA1013"/>
    <w:rsid w:val="00DA4B55"/>
    <w:rsid w:val="00DA4D95"/>
    <w:rsid w:val="00DA5FA4"/>
    <w:rsid w:val="00DA7223"/>
    <w:rsid w:val="00DB00E5"/>
    <w:rsid w:val="00DB7D8A"/>
    <w:rsid w:val="00DC00DF"/>
    <w:rsid w:val="00DC27FA"/>
    <w:rsid w:val="00DC441B"/>
    <w:rsid w:val="00DC56A1"/>
    <w:rsid w:val="00DC5989"/>
    <w:rsid w:val="00DC6DB2"/>
    <w:rsid w:val="00DC737D"/>
    <w:rsid w:val="00DD0723"/>
    <w:rsid w:val="00DD07F0"/>
    <w:rsid w:val="00DD419A"/>
    <w:rsid w:val="00DD454A"/>
    <w:rsid w:val="00DD5DF0"/>
    <w:rsid w:val="00DD682A"/>
    <w:rsid w:val="00DD7959"/>
    <w:rsid w:val="00DE2237"/>
    <w:rsid w:val="00DE40AA"/>
    <w:rsid w:val="00DE45E0"/>
    <w:rsid w:val="00DE4A44"/>
    <w:rsid w:val="00DE6E3A"/>
    <w:rsid w:val="00DE7231"/>
    <w:rsid w:val="00DF02DF"/>
    <w:rsid w:val="00DF0665"/>
    <w:rsid w:val="00DF0CE3"/>
    <w:rsid w:val="00DF1FB6"/>
    <w:rsid w:val="00DF3D50"/>
    <w:rsid w:val="00E007F9"/>
    <w:rsid w:val="00E01D34"/>
    <w:rsid w:val="00E0206A"/>
    <w:rsid w:val="00E021F1"/>
    <w:rsid w:val="00E03960"/>
    <w:rsid w:val="00E040CC"/>
    <w:rsid w:val="00E04599"/>
    <w:rsid w:val="00E04B41"/>
    <w:rsid w:val="00E04BE1"/>
    <w:rsid w:val="00E0689B"/>
    <w:rsid w:val="00E06E57"/>
    <w:rsid w:val="00E070C5"/>
    <w:rsid w:val="00E10D8B"/>
    <w:rsid w:val="00E1128F"/>
    <w:rsid w:val="00E115BF"/>
    <w:rsid w:val="00E11969"/>
    <w:rsid w:val="00E11F34"/>
    <w:rsid w:val="00E12671"/>
    <w:rsid w:val="00E12A6E"/>
    <w:rsid w:val="00E1368B"/>
    <w:rsid w:val="00E13752"/>
    <w:rsid w:val="00E149ED"/>
    <w:rsid w:val="00E15658"/>
    <w:rsid w:val="00E15795"/>
    <w:rsid w:val="00E15ED0"/>
    <w:rsid w:val="00E179CE"/>
    <w:rsid w:val="00E20924"/>
    <w:rsid w:val="00E21B31"/>
    <w:rsid w:val="00E22BFD"/>
    <w:rsid w:val="00E2314F"/>
    <w:rsid w:val="00E254BA"/>
    <w:rsid w:val="00E267C5"/>
    <w:rsid w:val="00E26918"/>
    <w:rsid w:val="00E27304"/>
    <w:rsid w:val="00E27D29"/>
    <w:rsid w:val="00E3036D"/>
    <w:rsid w:val="00E30685"/>
    <w:rsid w:val="00E3396A"/>
    <w:rsid w:val="00E33ECD"/>
    <w:rsid w:val="00E34123"/>
    <w:rsid w:val="00E35BB1"/>
    <w:rsid w:val="00E35D30"/>
    <w:rsid w:val="00E3648B"/>
    <w:rsid w:val="00E37903"/>
    <w:rsid w:val="00E40ED2"/>
    <w:rsid w:val="00E41792"/>
    <w:rsid w:val="00E423FA"/>
    <w:rsid w:val="00E42760"/>
    <w:rsid w:val="00E42D41"/>
    <w:rsid w:val="00E4376E"/>
    <w:rsid w:val="00E43B30"/>
    <w:rsid w:val="00E4413E"/>
    <w:rsid w:val="00E44697"/>
    <w:rsid w:val="00E4586B"/>
    <w:rsid w:val="00E4705E"/>
    <w:rsid w:val="00E471FA"/>
    <w:rsid w:val="00E4799C"/>
    <w:rsid w:val="00E506BC"/>
    <w:rsid w:val="00E506FA"/>
    <w:rsid w:val="00E5118E"/>
    <w:rsid w:val="00E5130E"/>
    <w:rsid w:val="00E517D2"/>
    <w:rsid w:val="00E51EAE"/>
    <w:rsid w:val="00E52031"/>
    <w:rsid w:val="00E52575"/>
    <w:rsid w:val="00E541B1"/>
    <w:rsid w:val="00E54ADB"/>
    <w:rsid w:val="00E55DEE"/>
    <w:rsid w:val="00E57484"/>
    <w:rsid w:val="00E60500"/>
    <w:rsid w:val="00E6058F"/>
    <w:rsid w:val="00E61918"/>
    <w:rsid w:val="00E61B27"/>
    <w:rsid w:val="00E61FFD"/>
    <w:rsid w:val="00E63DF0"/>
    <w:rsid w:val="00E64CBB"/>
    <w:rsid w:val="00E663DF"/>
    <w:rsid w:val="00E6756B"/>
    <w:rsid w:val="00E70577"/>
    <w:rsid w:val="00E71FB3"/>
    <w:rsid w:val="00E72004"/>
    <w:rsid w:val="00E7271F"/>
    <w:rsid w:val="00E72E20"/>
    <w:rsid w:val="00E743CD"/>
    <w:rsid w:val="00E75383"/>
    <w:rsid w:val="00E75F5C"/>
    <w:rsid w:val="00E77232"/>
    <w:rsid w:val="00E77CDA"/>
    <w:rsid w:val="00E808DD"/>
    <w:rsid w:val="00E82353"/>
    <w:rsid w:val="00E82AF6"/>
    <w:rsid w:val="00E83E53"/>
    <w:rsid w:val="00E8460D"/>
    <w:rsid w:val="00E851E9"/>
    <w:rsid w:val="00E85C49"/>
    <w:rsid w:val="00E86BC0"/>
    <w:rsid w:val="00E87EC7"/>
    <w:rsid w:val="00E913AD"/>
    <w:rsid w:val="00E92803"/>
    <w:rsid w:val="00E92CBB"/>
    <w:rsid w:val="00E937A7"/>
    <w:rsid w:val="00E9390D"/>
    <w:rsid w:val="00E93DEB"/>
    <w:rsid w:val="00E957E4"/>
    <w:rsid w:val="00EA06E0"/>
    <w:rsid w:val="00EA0CC0"/>
    <w:rsid w:val="00EA28DA"/>
    <w:rsid w:val="00EA2D5E"/>
    <w:rsid w:val="00EA4B7F"/>
    <w:rsid w:val="00EA6A34"/>
    <w:rsid w:val="00EA6F29"/>
    <w:rsid w:val="00EA74CC"/>
    <w:rsid w:val="00EB0FA8"/>
    <w:rsid w:val="00EB1940"/>
    <w:rsid w:val="00EB2256"/>
    <w:rsid w:val="00EB2B88"/>
    <w:rsid w:val="00EB2F30"/>
    <w:rsid w:val="00EB322B"/>
    <w:rsid w:val="00EB44A8"/>
    <w:rsid w:val="00EB470F"/>
    <w:rsid w:val="00EB5680"/>
    <w:rsid w:val="00EB679F"/>
    <w:rsid w:val="00EB7BF9"/>
    <w:rsid w:val="00EC02AB"/>
    <w:rsid w:val="00EC17A4"/>
    <w:rsid w:val="00EC3703"/>
    <w:rsid w:val="00EC384C"/>
    <w:rsid w:val="00EC4023"/>
    <w:rsid w:val="00EC4E33"/>
    <w:rsid w:val="00EC5260"/>
    <w:rsid w:val="00EC5E75"/>
    <w:rsid w:val="00EC6C84"/>
    <w:rsid w:val="00EC6EEA"/>
    <w:rsid w:val="00EC798C"/>
    <w:rsid w:val="00EC7DF3"/>
    <w:rsid w:val="00ED0B37"/>
    <w:rsid w:val="00ED0E16"/>
    <w:rsid w:val="00ED2275"/>
    <w:rsid w:val="00ED22CA"/>
    <w:rsid w:val="00ED27F1"/>
    <w:rsid w:val="00ED447A"/>
    <w:rsid w:val="00ED4790"/>
    <w:rsid w:val="00ED4A39"/>
    <w:rsid w:val="00ED5B32"/>
    <w:rsid w:val="00EE0D88"/>
    <w:rsid w:val="00EE5518"/>
    <w:rsid w:val="00EF1265"/>
    <w:rsid w:val="00EF2103"/>
    <w:rsid w:val="00EF2CF1"/>
    <w:rsid w:val="00EF2F66"/>
    <w:rsid w:val="00EF5211"/>
    <w:rsid w:val="00EF5ED8"/>
    <w:rsid w:val="00EF6AAF"/>
    <w:rsid w:val="00EF75AC"/>
    <w:rsid w:val="00EF7631"/>
    <w:rsid w:val="00EF7679"/>
    <w:rsid w:val="00EF7A1F"/>
    <w:rsid w:val="00F009DA"/>
    <w:rsid w:val="00F016FE"/>
    <w:rsid w:val="00F02AC1"/>
    <w:rsid w:val="00F02AF8"/>
    <w:rsid w:val="00F0303F"/>
    <w:rsid w:val="00F03B85"/>
    <w:rsid w:val="00F05F03"/>
    <w:rsid w:val="00F067A3"/>
    <w:rsid w:val="00F07050"/>
    <w:rsid w:val="00F07B63"/>
    <w:rsid w:val="00F10482"/>
    <w:rsid w:val="00F10777"/>
    <w:rsid w:val="00F10C0A"/>
    <w:rsid w:val="00F10C3D"/>
    <w:rsid w:val="00F116E3"/>
    <w:rsid w:val="00F12172"/>
    <w:rsid w:val="00F1473A"/>
    <w:rsid w:val="00F16174"/>
    <w:rsid w:val="00F1684C"/>
    <w:rsid w:val="00F16B83"/>
    <w:rsid w:val="00F220B8"/>
    <w:rsid w:val="00F22D71"/>
    <w:rsid w:val="00F23435"/>
    <w:rsid w:val="00F24CC4"/>
    <w:rsid w:val="00F25A73"/>
    <w:rsid w:val="00F26356"/>
    <w:rsid w:val="00F27A37"/>
    <w:rsid w:val="00F303E4"/>
    <w:rsid w:val="00F316C8"/>
    <w:rsid w:val="00F316D9"/>
    <w:rsid w:val="00F32228"/>
    <w:rsid w:val="00F32C0C"/>
    <w:rsid w:val="00F33070"/>
    <w:rsid w:val="00F33426"/>
    <w:rsid w:val="00F338DF"/>
    <w:rsid w:val="00F33FB1"/>
    <w:rsid w:val="00F3418D"/>
    <w:rsid w:val="00F343DE"/>
    <w:rsid w:val="00F34D4B"/>
    <w:rsid w:val="00F3543F"/>
    <w:rsid w:val="00F365B0"/>
    <w:rsid w:val="00F369D9"/>
    <w:rsid w:val="00F36CDE"/>
    <w:rsid w:val="00F36F7E"/>
    <w:rsid w:val="00F37EB3"/>
    <w:rsid w:val="00F41DDE"/>
    <w:rsid w:val="00F42BFA"/>
    <w:rsid w:val="00F4354E"/>
    <w:rsid w:val="00F44D7D"/>
    <w:rsid w:val="00F4559F"/>
    <w:rsid w:val="00F45812"/>
    <w:rsid w:val="00F467D8"/>
    <w:rsid w:val="00F47675"/>
    <w:rsid w:val="00F47DBD"/>
    <w:rsid w:val="00F5028C"/>
    <w:rsid w:val="00F5308D"/>
    <w:rsid w:val="00F5487F"/>
    <w:rsid w:val="00F5506A"/>
    <w:rsid w:val="00F561C3"/>
    <w:rsid w:val="00F56B08"/>
    <w:rsid w:val="00F6092A"/>
    <w:rsid w:val="00F609D8"/>
    <w:rsid w:val="00F60BA5"/>
    <w:rsid w:val="00F620EA"/>
    <w:rsid w:val="00F62BCE"/>
    <w:rsid w:val="00F62C14"/>
    <w:rsid w:val="00F63DE6"/>
    <w:rsid w:val="00F64012"/>
    <w:rsid w:val="00F70702"/>
    <w:rsid w:val="00F7218C"/>
    <w:rsid w:val="00F74889"/>
    <w:rsid w:val="00F74BD8"/>
    <w:rsid w:val="00F75216"/>
    <w:rsid w:val="00F7589B"/>
    <w:rsid w:val="00F804E2"/>
    <w:rsid w:val="00F80AC0"/>
    <w:rsid w:val="00F80CF6"/>
    <w:rsid w:val="00F81115"/>
    <w:rsid w:val="00F8304A"/>
    <w:rsid w:val="00F83CEE"/>
    <w:rsid w:val="00F83DD8"/>
    <w:rsid w:val="00F84124"/>
    <w:rsid w:val="00F854BF"/>
    <w:rsid w:val="00F85C91"/>
    <w:rsid w:val="00F864B5"/>
    <w:rsid w:val="00F87A1C"/>
    <w:rsid w:val="00F90B71"/>
    <w:rsid w:val="00F91F68"/>
    <w:rsid w:val="00F92B96"/>
    <w:rsid w:val="00F935FE"/>
    <w:rsid w:val="00F94363"/>
    <w:rsid w:val="00F94820"/>
    <w:rsid w:val="00F94F2A"/>
    <w:rsid w:val="00F95567"/>
    <w:rsid w:val="00F9564C"/>
    <w:rsid w:val="00F96A50"/>
    <w:rsid w:val="00F978EE"/>
    <w:rsid w:val="00FA094F"/>
    <w:rsid w:val="00FA1965"/>
    <w:rsid w:val="00FA1E98"/>
    <w:rsid w:val="00FA2399"/>
    <w:rsid w:val="00FA3F50"/>
    <w:rsid w:val="00FA45E3"/>
    <w:rsid w:val="00FA51D3"/>
    <w:rsid w:val="00FA5A56"/>
    <w:rsid w:val="00FA5C71"/>
    <w:rsid w:val="00FA679B"/>
    <w:rsid w:val="00FA6B9B"/>
    <w:rsid w:val="00FA7084"/>
    <w:rsid w:val="00FB0A96"/>
    <w:rsid w:val="00FB1578"/>
    <w:rsid w:val="00FB1C51"/>
    <w:rsid w:val="00FB28D3"/>
    <w:rsid w:val="00FB3C55"/>
    <w:rsid w:val="00FB4800"/>
    <w:rsid w:val="00FC322D"/>
    <w:rsid w:val="00FC4BF9"/>
    <w:rsid w:val="00FC5136"/>
    <w:rsid w:val="00FD13D9"/>
    <w:rsid w:val="00FD1A46"/>
    <w:rsid w:val="00FD5C76"/>
    <w:rsid w:val="00FD618A"/>
    <w:rsid w:val="00FD6C4A"/>
    <w:rsid w:val="00FD71F9"/>
    <w:rsid w:val="00FE0BB2"/>
    <w:rsid w:val="00FE28A5"/>
    <w:rsid w:val="00FE3712"/>
    <w:rsid w:val="00FE3ACE"/>
    <w:rsid w:val="00FE3B0F"/>
    <w:rsid w:val="00FE3EE7"/>
    <w:rsid w:val="00FE482A"/>
    <w:rsid w:val="00FE65F6"/>
    <w:rsid w:val="00FE713F"/>
    <w:rsid w:val="00FE7D6B"/>
    <w:rsid w:val="00FF133D"/>
    <w:rsid w:val="00FF1DE9"/>
    <w:rsid w:val="00FF24E9"/>
    <w:rsid w:val="00FF2D5D"/>
    <w:rsid w:val="00FF2E7A"/>
    <w:rsid w:val="00FF3509"/>
    <w:rsid w:val="00FF3DFC"/>
    <w:rsid w:val="00FF5ED0"/>
    <w:rsid w:val="00FF63FA"/>
    <w:rsid w:val="00FF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ind w:left="547"/>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A5"/>
    <w:pPr>
      <w:spacing w:after="200" w:line="276" w:lineRule="auto"/>
    </w:pPr>
    <w:rPr>
      <w:sz w:val="22"/>
      <w:szCs w:val="22"/>
      <w:lang w:val="en-GB" w:bidi="en-US"/>
    </w:rPr>
  </w:style>
  <w:style w:type="paragraph" w:styleId="Heading1">
    <w:name w:val="heading 1"/>
    <w:basedOn w:val="Normal"/>
    <w:next w:val="Normal"/>
    <w:link w:val="Heading1Char"/>
    <w:uiPriority w:val="9"/>
    <w:qFormat/>
    <w:rsid w:val="00C706FF"/>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C706FF"/>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C706FF"/>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C706FF"/>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C706FF"/>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C706FF"/>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C706FF"/>
    <w:pPr>
      <w:spacing w:after="0"/>
      <w:outlineLvl w:val="6"/>
    </w:pPr>
    <w:rPr>
      <w:rFonts w:ascii="Cambria" w:hAnsi="Cambria"/>
      <w:i/>
      <w:iCs/>
    </w:rPr>
  </w:style>
  <w:style w:type="paragraph" w:styleId="Heading8">
    <w:name w:val="heading 8"/>
    <w:basedOn w:val="Normal"/>
    <w:next w:val="Normal"/>
    <w:link w:val="Heading8Char"/>
    <w:uiPriority w:val="9"/>
    <w:qFormat/>
    <w:rsid w:val="00C706FF"/>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C706F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q">
    <w:name w:val="qq"/>
    <w:basedOn w:val="Normal"/>
    <w:rsid w:val="00E4586B"/>
    <w:pPr>
      <w:tabs>
        <w:tab w:val="decimal" w:pos="5580"/>
        <w:tab w:val="decimal" w:pos="7280"/>
        <w:tab w:val="decimal" w:pos="8820"/>
      </w:tabs>
      <w:overflowPunct w:val="0"/>
      <w:autoSpaceDE w:val="0"/>
      <w:autoSpaceDN w:val="0"/>
      <w:adjustRightInd w:val="0"/>
      <w:spacing w:line="360" w:lineRule="atLeast"/>
      <w:ind w:right="-406"/>
      <w:jc w:val="both"/>
      <w:textAlignment w:val="baseline"/>
    </w:pPr>
    <w:rPr>
      <w:rFonts w:eastAsia="Calibri"/>
    </w:rPr>
  </w:style>
  <w:style w:type="paragraph" w:styleId="ListParagraph">
    <w:name w:val="List Paragraph"/>
    <w:basedOn w:val="Normal"/>
    <w:uiPriority w:val="34"/>
    <w:qFormat/>
    <w:rsid w:val="00C706FF"/>
    <w:pPr>
      <w:ind w:left="720"/>
      <w:contextualSpacing/>
    </w:pPr>
  </w:style>
  <w:style w:type="table" w:styleId="TableGrid">
    <w:name w:val="Table Grid"/>
    <w:basedOn w:val="TableNormal"/>
    <w:rsid w:val="00596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7750"/>
    <w:rPr>
      <w:color w:val="0000FF"/>
      <w:u w:val="single"/>
    </w:rPr>
  </w:style>
  <w:style w:type="paragraph" w:styleId="Header">
    <w:name w:val="header"/>
    <w:basedOn w:val="Normal"/>
    <w:link w:val="HeaderChar"/>
    <w:uiPriority w:val="99"/>
    <w:rsid w:val="00163DE6"/>
    <w:pPr>
      <w:tabs>
        <w:tab w:val="center" w:pos="4680"/>
        <w:tab w:val="right" w:pos="9360"/>
      </w:tabs>
    </w:pPr>
  </w:style>
  <w:style w:type="character" w:customStyle="1" w:styleId="HeaderChar">
    <w:name w:val="Header Char"/>
    <w:basedOn w:val="DefaultParagraphFont"/>
    <w:link w:val="Header"/>
    <w:uiPriority w:val="99"/>
    <w:rsid w:val="00163DE6"/>
    <w:rPr>
      <w:sz w:val="24"/>
      <w:szCs w:val="24"/>
    </w:rPr>
  </w:style>
  <w:style w:type="paragraph" w:styleId="Footer">
    <w:name w:val="footer"/>
    <w:basedOn w:val="Normal"/>
    <w:link w:val="FooterChar"/>
    <w:rsid w:val="00163DE6"/>
    <w:pPr>
      <w:tabs>
        <w:tab w:val="center" w:pos="4680"/>
        <w:tab w:val="right" w:pos="9360"/>
      </w:tabs>
    </w:pPr>
  </w:style>
  <w:style w:type="character" w:customStyle="1" w:styleId="FooterChar">
    <w:name w:val="Footer Char"/>
    <w:basedOn w:val="DefaultParagraphFont"/>
    <w:link w:val="Footer"/>
    <w:rsid w:val="00163DE6"/>
    <w:rPr>
      <w:sz w:val="24"/>
      <w:szCs w:val="24"/>
    </w:rPr>
  </w:style>
  <w:style w:type="paragraph" w:styleId="BalloonText">
    <w:name w:val="Balloon Text"/>
    <w:basedOn w:val="Normal"/>
    <w:link w:val="BalloonTextChar"/>
    <w:rsid w:val="00F32228"/>
    <w:rPr>
      <w:rFonts w:ascii="Tahoma" w:hAnsi="Tahoma" w:cs="Tahoma"/>
      <w:sz w:val="16"/>
      <w:szCs w:val="16"/>
    </w:rPr>
  </w:style>
  <w:style w:type="character" w:customStyle="1" w:styleId="BalloonTextChar">
    <w:name w:val="Balloon Text Char"/>
    <w:basedOn w:val="DefaultParagraphFont"/>
    <w:link w:val="BalloonText"/>
    <w:rsid w:val="00F32228"/>
    <w:rPr>
      <w:rFonts w:ascii="Tahoma" w:hAnsi="Tahoma" w:cs="Tahoma"/>
      <w:sz w:val="16"/>
      <w:szCs w:val="16"/>
    </w:rPr>
  </w:style>
  <w:style w:type="paragraph" w:customStyle="1" w:styleId="Default">
    <w:name w:val="Default"/>
    <w:rsid w:val="00E86BC0"/>
    <w:pPr>
      <w:autoSpaceDE w:val="0"/>
      <w:autoSpaceDN w:val="0"/>
      <w:adjustRightInd w:val="0"/>
      <w:spacing w:after="200" w:line="276" w:lineRule="auto"/>
    </w:pPr>
    <w:rPr>
      <w:color w:val="000000"/>
      <w:sz w:val="24"/>
      <w:szCs w:val="24"/>
      <w:lang w:bidi="en-US"/>
    </w:rPr>
  </w:style>
  <w:style w:type="character" w:customStyle="1" w:styleId="apple-converted-space">
    <w:name w:val="apple-converted-space"/>
    <w:basedOn w:val="DefaultParagraphFont"/>
    <w:rsid w:val="00F47675"/>
  </w:style>
  <w:style w:type="character" w:customStyle="1" w:styleId="Heading1Char">
    <w:name w:val="Heading 1 Char"/>
    <w:basedOn w:val="DefaultParagraphFont"/>
    <w:link w:val="Heading1"/>
    <w:uiPriority w:val="9"/>
    <w:rsid w:val="00C706FF"/>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706FF"/>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706FF"/>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706FF"/>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706FF"/>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706FF"/>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706FF"/>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706FF"/>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706F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706F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706F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706FF"/>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706FF"/>
    <w:rPr>
      <w:rFonts w:ascii="Cambria" w:eastAsia="Times New Roman" w:hAnsi="Cambria" w:cs="Times New Roman"/>
      <w:i/>
      <w:iCs/>
      <w:spacing w:val="13"/>
      <w:sz w:val="24"/>
      <w:szCs w:val="24"/>
    </w:rPr>
  </w:style>
  <w:style w:type="character" w:styleId="Strong">
    <w:name w:val="Strong"/>
    <w:uiPriority w:val="22"/>
    <w:qFormat/>
    <w:rsid w:val="00C706FF"/>
    <w:rPr>
      <w:b/>
      <w:bCs/>
    </w:rPr>
  </w:style>
  <w:style w:type="character" w:styleId="Emphasis">
    <w:name w:val="Emphasis"/>
    <w:uiPriority w:val="20"/>
    <w:qFormat/>
    <w:rsid w:val="00C706FF"/>
    <w:rPr>
      <w:b/>
      <w:bCs/>
      <w:i/>
      <w:iCs/>
      <w:spacing w:val="10"/>
      <w:bdr w:val="none" w:sz="0" w:space="0" w:color="auto"/>
      <w:shd w:val="clear" w:color="auto" w:fill="auto"/>
    </w:rPr>
  </w:style>
  <w:style w:type="paragraph" w:styleId="NoSpacing">
    <w:name w:val="No Spacing"/>
    <w:basedOn w:val="Normal"/>
    <w:uiPriority w:val="1"/>
    <w:qFormat/>
    <w:rsid w:val="00C706FF"/>
    <w:pPr>
      <w:spacing w:after="0" w:line="240" w:lineRule="auto"/>
    </w:pPr>
  </w:style>
  <w:style w:type="paragraph" w:styleId="Quote">
    <w:name w:val="Quote"/>
    <w:basedOn w:val="Normal"/>
    <w:next w:val="Normal"/>
    <w:link w:val="QuoteChar"/>
    <w:uiPriority w:val="29"/>
    <w:qFormat/>
    <w:rsid w:val="00C706FF"/>
    <w:pPr>
      <w:spacing w:before="200" w:after="0"/>
      <w:ind w:left="360" w:right="360"/>
    </w:pPr>
    <w:rPr>
      <w:i/>
      <w:iCs/>
    </w:rPr>
  </w:style>
  <w:style w:type="character" w:customStyle="1" w:styleId="QuoteChar">
    <w:name w:val="Quote Char"/>
    <w:basedOn w:val="DefaultParagraphFont"/>
    <w:link w:val="Quote"/>
    <w:uiPriority w:val="29"/>
    <w:rsid w:val="00C706FF"/>
    <w:rPr>
      <w:i/>
      <w:iCs/>
    </w:rPr>
  </w:style>
  <w:style w:type="paragraph" w:styleId="IntenseQuote">
    <w:name w:val="Intense Quote"/>
    <w:basedOn w:val="Normal"/>
    <w:next w:val="Normal"/>
    <w:link w:val="IntenseQuoteChar"/>
    <w:uiPriority w:val="30"/>
    <w:qFormat/>
    <w:rsid w:val="00C706F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706FF"/>
    <w:rPr>
      <w:b/>
      <w:bCs/>
      <w:i/>
      <w:iCs/>
    </w:rPr>
  </w:style>
  <w:style w:type="character" w:styleId="SubtleEmphasis">
    <w:name w:val="Subtle Emphasis"/>
    <w:uiPriority w:val="19"/>
    <w:qFormat/>
    <w:rsid w:val="00C706FF"/>
    <w:rPr>
      <w:i/>
      <w:iCs/>
    </w:rPr>
  </w:style>
  <w:style w:type="character" w:styleId="IntenseEmphasis">
    <w:name w:val="Intense Emphasis"/>
    <w:uiPriority w:val="21"/>
    <w:qFormat/>
    <w:rsid w:val="00C706FF"/>
    <w:rPr>
      <w:b/>
      <w:bCs/>
    </w:rPr>
  </w:style>
  <w:style w:type="character" w:styleId="SubtleReference">
    <w:name w:val="Subtle Reference"/>
    <w:uiPriority w:val="31"/>
    <w:qFormat/>
    <w:rsid w:val="00C706FF"/>
    <w:rPr>
      <w:smallCaps/>
    </w:rPr>
  </w:style>
  <w:style w:type="character" w:styleId="IntenseReference">
    <w:name w:val="Intense Reference"/>
    <w:uiPriority w:val="32"/>
    <w:qFormat/>
    <w:rsid w:val="00C706FF"/>
    <w:rPr>
      <w:smallCaps/>
      <w:spacing w:val="5"/>
      <w:u w:val="single"/>
    </w:rPr>
  </w:style>
  <w:style w:type="character" w:styleId="BookTitle">
    <w:name w:val="Book Title"/>
    <w:uiPriority w:val="33"/>
    <w:qFormat/>
    <w:rsid w:val="00C706FF"/>
    <w:rPr>
      <w:i/>
      <w:iCs/>
      <w:smallCaps/>
      <w:spacing w:val="5"/>
    </w:rPr>
  </w:style>
  <w:style w:type="paragraph" w:styleId="TOCHeading">
    <w:name w:val="TOC Heading"/>
    <w:basedOn w:val="Heading1"/>
    <w:next w:val="Normal"/>
    <w:uiPriority w:val="39"/>
    <w:qFormat/>
    <w:rsid w:val="00C706FF"/>
    <w:pPr>
      <w:outlineLvl w:val="9"/>
    </w:pPr>
  </w:style>
  <w:style w:type="character" w:customStyle="1" w:styleId="knx-annotation">
    <w:name w:val="knx-annotation"/>
    <w:basedOn w:val="DefaultParagraphFont"/>
    <w:rsid w:val="00F220B8"/>
  </w:style>
  <w:style w:type="paragraph" w:customStyle="1" w:styleId="Subhead2">
    <w:name w:val="Subhead 2"/>
    <w:basedOn w:val="Normal"/>
    <w:rsid w:val="003D5300"/>
    <w:pPr>
      <w:tabs>
        <w:tab w:val="left" w:pos="1531"/>
      </w:tabs>
      <w:autoSpaceDE w:val="0"/>
      <w:autoSpaceDN w:val="0"/>
      <w:adjustRightInd w:val="0"/>
      <w:spacing w:after="0" w:line="260" w:lineRule="atLeast"/>
      <w:ind w:left="1531" w:right="1134" w:hanging="1531"/>
    </w:pPr>
    <w:rPr>
      <w:rFonts w:ascii="Univers 55" w:eastAsia="SimSun" w:hAnsi="Univers 55" w:cs="Univers 55"/>
      <w:b/>
      <w:bCs/>
      <w:color w:val="0C2D83"/>
      <w:sz w:val="20"/>
      <w:szCs w:val="20"/>
      <w:lang w:val="en-NZ" w:eastAsia="en-NZ" w:bidi="ar-SA"/>
    </w:rPr>
  </w:style>
  <w:style w:type="character" w:styleId="CommentReference">
    <w:name w:val="annotation reference"/>
    <w:basedOn w:val="DefaultParagraphFont"/>
    <w:rsid w:val="005C1CEE"/>
    <w:rPr>
      <w:sz w:val="16"/>
      <w:szCs w:val="16"/>
    </w:rPr>
  </w:style>
  <w:style w:type="paragraph" w:styleId="CommentText">
    <w:name w:val="annotation text"/>
    <w:basedOn w:val="Normal"/>
    <w:link w:val="CommentTextChar"/>
    <w:rsid w:val="005C1CEE"/>
    <w:rPr>
      <w:sz w:val="20"/>
      <w:szCs w:val="20"/>
    </w:rPr>
  </w:style>
  <w:style w:type="character" w:customStyle="1" w:styleId="CommentTextChar">
    <w:name w:val="Comment Text Char"/>
    <w:basedOn w:val="DefaultParagraphFont"/>
    <w:link w:val="CommentText"/>
    <w:rsid w:val="005C1CEE"/>
    <w:rPr>
      <w:lang w:val="en-GB" w:eastAsia="en-US" w:bidi="en-US"/>
    </w:rPr>
  </w:style>
  <w:style w:type="paragraph" w:styleId="CommentSubject">
    <w:name w:val="annotation subject"/>
    <w:basedOn w:val="CommentText"/>
    <w:next w:val="CommentText"/>
    <w:link w:val="CommentSubjectChar"/>
    <w:rsid w:val="005C1CEE"/>
    <w:rPr>
      <w:b/>
      <w:bCs/>
    </w:rPr>
  </w:style>
  <w:style w:type="character" w:customStyle="1" w:styleId="CommentSubjectChar">
    <w:name w:val="Comment Subject Char"/>
    <w:basedOn w:val="CommentTextChar"/>
    <w:link w:val="CommentSubject"/>
    <w:rsid w:val="005C1CEE"/>
    <w:rPr>
      <w:b/>
      <w:bCs/>
      <w:lang w:val="en-GB" w:eastAsia="en-US" w:bidi="en-US"/>
    </w:rPr>
  </w:style>
  <w:style w:type="paragraph" w:styleId="DocumentMap">
    <w:name w:val="Document Map"/>
    <w:basedOn w:val="Normal"/>
    <w:link w:val="DocumentMapChar"/>
    <w:rsid w:val="002F3A84"/>
    <w:rPr>
      <w:rFonts w:ascii="Tahoma" w:hAnsi="Tahoma" w:cs="Tahoma"/>
      <w:sz w:val="16"/>
      <w:szCs w:val="16"/>
    </w:rPr>
  </w:style>
  <w:style w:type="character" w:customStyle="1" w:styleId="DocumentMapChar">
    <w:name w:val="Document Map Char"/>
    <w:basedOn w:val="DefaultParagraphFont"/>
    <w:link w:val="DocumentMap"/>
    <w:rsid w:val="002F3A84"/>
    <w:rPr>
      <w:rFonts w:ascii="Tahoma" w:hAnsi="Tahoma" w:cs="Tahoma"/>
      <w:sz w:val="16"/>
      <w:szCs w:val="16"/>
      <w:lang w:val="en-GB" w:bidi="en-US"/>
    </w:rPr>
  </w:style>
  <w:style w:type="paragraph" w:styleId="NormalWeb">
    <w:name w:val="Normal (Web)"/>
    <w:basedOn w:val="Normal"/>
    <w:uiPriority w:val="99"/>
    <w:unhideWhenUsed/>
    <w:rsid w:val="0007108D"/>
    <w:pPr>
      <w:spacing w:before="100" w:beforeAutospacing="1" w:after="100" w:afterAutospacing="1" w:line="240" w:lineRule="auto"/>
    </w:pPr>
    <w:rPr>
      <w:rFonts w:ascii="Times New Roman" w:hAnsi="Times New Roman"/>
      <w:color w:val="000000"/>
      <w:sz w:val="24"/>
      <w:szCs w:val="24"/>
      <w:lang w:val="en-US" w:bidi="ar-SA"/>
    </w:rPr>
  </w:style>
  <w:style w:type="paragraph" w:customStyle="1" w:styleId="default0">
    <w:name w:val="default"/>
    <w:basedOn w:val="Normal"/>
    <w:rsid w:val="007B766D"/>
    <w:pPr>
      <w:spacing w:before="100" w:beforeAutospacing="1" w:after="100" w:afterAutospacing="1" w:line="240" w:lineRule="auto"/>
    </w:pPr>
    <w:rPr>
      <w:rFonts w:ascii="Times New Roman" w:hAnsi="Times New Roman"/>
      <w:sz w:val="24"/>
      <w:szCs w:val="24"/>
      <w:lang w:val="en-US" w:bidi="ar-SA"/>
    </w:rPr>
  </w:style>
  <w:style w:type="character" w:customStyle="1" w:styleId="aqj">
    <w:name w:val="aqj"/>
    <w:basedOn w:val="DefaultParagraphFont"/>
    <w:rsid w:val="00CC6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ind w:left="547"/>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A5"/>
    <w:pPr>
      <w:spacing w:after="200" w:line="276" w:lineRule="auto"/>
    </w:pPr>
    <w:rPr>
      <w:sz w:val="22"/>
      <w:szCs w:val="22"/>
      <w:lang w:val="en-GB" w:bidi="en-US"/>
    </w:rPr>
  </w:style>
  <w:style w:type="paragraph" w:styleId="Heading1">
    <w:name w:val="heading 1"/>
    <w:basedOn w:val="Normal"/>
    <w:next w:val="Normal"/>
    <w:link w:val="Heading1Char"/>
    <w:uiPriority w:val="9"/>
    <w:qFormat/>
    <w:rsid w:val="00C706FF"/>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C706FF"/>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C706FF"/>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C706FF"/>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C706FF"/>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C706FF"/>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C706FF"/>
    <w:pPr>
      <w:spacing w:after="0"/>
      <w:outlineLvl w:val="6"/>
    </w:pPr>
    <w:rPr>
      <w:rFonts w:ascii="Cambria" w:hAnsi="Cambria"/>
      <w:i/>
      <w:iCs/>
    </w:rPr>
  </w:style>
  <w:style w:type="paragraph" w:styleId="Heading8">
    <w:name w:val="heading 8"/>
    <w:basedOn w:val="Normal"/>
    <w:next w:val="Normal"/>
    <w:link w:val="Heading8Char"/>
    <w:uiPriority w:val="9"/>
    <w:qFormat/>
    <w:rsid w:val="00C706FF"/>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C706F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q">
    <w:name w:val="qq"/>
    <w:basedOn w:val="Normal"/>
    <w:rsid w:val="00E4586B"/>
    <w:pPr>
      <w:tabs>
        <w:tab w:val="decimal" w:pos="5580"/>
        <w:tab w:val="decimal" w:pos="7280"/>
        <w:tab w:val="decimal" w:pos="8820"/>
      </w:tabs>
      <w:overflowPunct w:val="0"/>
      <w:autoSpaceDE w:val="0"/>
      <w:autoSpaceDN w:val="0"/>
      <w:adjustRightInd w:val="0"/>
      <w:spacing w:line="360" w:lineRule="atLeast"/>
      <w:ind w:right="-406"/>
      <w:jc w:val="both"/>
      <w:textAlignment w:val="baseline"/>
    </w:pPr>
    <w:rPr>
      <w:rFonts w:eastAsia="Calibri"/>
    </w:rPr>
  </w:style>
  <w:style w:type="paragraph" w:styleId="ListParagraph">
    <w:name w:val="List Paragraph"/>
    <w:basedOn w:val="Normal"/>
    <w:uiPriority w:val="34"/>
    <w:qFormat/>
    <w:rsid w:val="00C706FF"/>
    <w:pPr>
      <w:ind w:left="720"/>
      <w:contextualSpacing/>
    </w:pPr>
  </w:style>
  <w:style w:type="table" w:styleId="TableGrid">
    <w:name w:val="Table Grid"/>
    <w:basedOn w:val="TableNormal"/>
    <w:rsid w:val="00596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7750"/>
    <w:rPr>
      <w:color w:val="0000FF"/>
      <w:u w:val="single"/>
    </w:rPr>
  </w:style>
  <w:style w:type="paragraph" w:styleId="Header">
    <w:name w:val="header"/>
    <w:basedOn w:val="Normal"/>
    <w:link w:val="HeaderChar"/>
    <w:uiPriority w:val="99"/>
    <w:rsid w:val="00163DE6"/>
    <w:pPr>
      <w:tabs>
        <w:tab w:val="center" w:pos="4680"/>
        <w:tab w:val="right" w:pos="9360"/>
      </w:tabs>
    </w:pPr>
  </w:style>
  <w:style w:type="character" w:customStyle="1" w:styleId="HeaderChar">
    <w:name w:val="Header Char"/>
    <w:basedOn w:val="DefaultParagraphFont"/>
    <w:link w:val="Header"/>
    <w:uiPriority w:val="99"/>
    <w:rsid w:val="00163DE6"/>
    <w:rPr>
      <w:sz w:val="24"/>
      <w:szCs w:val="24"/>
    </w:rPr>
  </w:style>
  <w:style w:type="paragraph" w:styleId="Footer">
    <w:name w:val="footer"/>
    <w:basedOn w:val="Normal"/>
    <w:link w:val="FooterChar"/>
    <w:rsid w:val="00163DE6"/>
    <w:pPr>
      <w:tabs>
        <w:tab w:val="center" w:pos="4680"/>
        <w:tab w:val="right" w:pos="9360"/>
      </w:tabs>
    </w:pPr>
  </w:style>
  <w:style w:type="character" w:customStyle="1" w:styleId="FooterChar">
    <w:name w:val="Footer Char"/>
    <w:basedOn w:val="DefaultParagraphFont"/>
    <w:link w:val="Footer"/>
    <w:rsid w:val="00163DE6"/>
    <w:rPr>
      <w:sz w:val="24"/>
      <w:szCs w:val="24"/>
    </w:rPr>
  </w:style>
  <w:style w:type="paragraph" w:styleId="BalloonText">
    <w:name w:val="Balloon Text"/>
    <w:basedOn w:val="Normal"/>
    <w:link w:val="BalloonTextChar"/>
    <w:rsid w:val="00F32228"/>
    <w:rPr>
      <w:rFonts w:ascii="Tahoma" w:hAnsi="Tahoma" w:cs="Tahoma"/>
      <w:sz w:val="16"/>
      <w:szCs w:val="16"/>
    </w:rPr>
  </w:style>
  <w:style w:type="character" w:customStyle="1" w:styleId="BalloonTextChar">
    <w:name w:val="Balloon Text Char"/>
    <w:basedOn w:val="DefaultParagraphFont"/>
    <w:link w:val="BalloonText"/>
    <w:rsid w:val="00F32228"/>
    <w:rPr>
      <w:rFonts w:ascii="Tahoma" w:hAnsi="Tahoma" w:cs="Tahoma"/>
      <w:sz w:val="16"/>
      <w:szCs w:val="16"/>
    </w:rPr>
  </w:style>
  <w:style w:type="paragraph" w:customStyle="1" w:styleId="Default">
    <w:name w:val="Default"/>
    <w:rsid w:val="00E86BC0"/>
    <w:pPr>
      <w:autoSpaceDE w:val="0"/>
      <w:autoSpaceDN w:val="0"/>
      <w:adjustRightInd w:val="0"/>
      <w:spacing w:after="200" w:line="276" w:lineRule="auto"/>
    </w:pPr>
    <w:rPr>
      <w:color w:val="000000"/>
      <w:sz w:val="24"/>
      <w:szCs w:val="24"/>
      <w:lang w:bidi="en-US"/>
    </w:rPr>
  </w:style>
  <w:style w:type="character" w:customStyle="1" w:styleId="apple-converted-space">
    <w:name w:val="apple-converted-space"/>
    <w:basedOn w:val="DefaultParagraphFont"/>
    <w:rsid w:val="00F47675"/>
  </w:style>
  <w:style w:type="character" w:customStyle="1" w:styleId="Heading1Char">
    <w:name w:val="Heading 1 Char"/>
    <w:basedOn w:val="DefaultParagraphFont"/>
    <w:link w:val="Heading1"/>
    <w:uiPriority w:val="9"/>
    <w:rsid w:val="00C706FF"/>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706FF"/>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706FF"/>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706FF"/>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706FF"/>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706FF"/>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706FF"/>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706FF"/>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706F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706F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706F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706FF"/>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706FF"/>
    <w:rPr>
      <w:rFonts w:ascii="Cambria" w:eastAsia="Times New Roman" w:hAnsi="Cambria" w:cs="Times New Roman"/>
      <w:i/>
      <w:iCs/>
      <w:spacing w:val="13"/>
      <w:sz w:val="24"/>
      <w:szCs w:val="24"/>
    </w:rPr>
  </w:style>
  <w:style w:type="character" w:styleId="Strong">
    <w:name w:val="Strong"/>
    <w:uiPriority w:val="22"/>
    <w:qFormat/>
    <w:rsid w:val="00C706FF"/>
    <w:rPr>
      <w:b/>
      <w:bCs/>
    </w:rPr>
  </w:style>
  <w:style w:type="character" w:styleId="Emphasis">
    <w:name w:val="Emphasis"/>
    <w:uiPriority w:val="20"/>
    <w:qFormat/>
    <w:rsid w:val="00C706FF"/>
    <w:rPr>
      <w:b/>
      <w:bCs/>
      <w:i/>
      <w:iCs/>
      <w:spacing w:val="10"/>
      <w:bdr w:val="none" w:sz="0" w:space="0" w:color="auto"/>
      <w:shd w:val="clear" w:color="auto" w:fill="auto"/>
    </w:rPr>
  </w:style>
  <w:style w:type="paragraph" w:styleId="NoSpacing">
    <w:name w:val="No Spacing"/>
    <w:basedOn w:val="Normal"/>
    <w:uiPriority w:val="1"/>
    <w:qFormat/>
    <w:rsid w:val="00C706FF"/>
    <w:pPr>
      <w:spacing w:after="0" w:line="240" w:lineRule="auto"/>
    </w:pPr>
  </w:style>
  <w:style w:type="paragraph" w:styleId="Quote">
    <w:name w:val="Quote"/>
    <w:basedOn w:val="Normal"/>
    <w:next w:val="Normal"/>
    <w:link w:val="QuoteChar"/>
    <w:uiPriority w:val="29"/>
    <w:qFormat/>
    <w:rsid w:val="00C706FF"/>
    <w:pPr>
      <w:spacing w:before="200" w:after="0"/>
      <w:ind w:left="360" w:right="360"/>
    </w:pPr>
    <w:rPr>
      <w:i/>
      <w:iCs/>
    </w:rPr>
  </w:style>
  <w:style w:type="character" w:customStyle="1" w:styleId="QuoteChar">
    <w:name w:val="Quote Char"/>
    <w:basedOn w:val="DefaultParagraphFont"/>
    <w:link w:val="Quote"/>
    <w:uiPriority w:val="29"/>
    <w:rsid w:val="00C706FF"/>
    <w:rPr>
      <w:i/>
      <w:iCs/>
    </w:rPr>
  </w:style>
  <w:style w:type="paragraph" w:styleId="IntenseQuote">
    <w:name w:val="Intense Quote"/>
    <w:basedOn w:val="Normal"/>
    <w:next w:val="Normal"/>
    <w:link w:val="IntenseQuoteChar"/>
    <w:uiPriority w:val="30"/>
    <w:qFormat/>
    <w:rsid w:val="00C706F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706FF"/>
    <w:rPr>
      <w:b/>
      <w:bCs/>
      <w:i/>
      <w:iCs/>
    </w:rPr>
  </w:style>
  <w:style w:type="character" w:styleId="SubtleEmphasis">
    <w:name w:val="Subtle Emphasis"/>
    <w:uiPriority w:val="19"/>
    <w:qFormat/>
    <w:rsid w:val="00C706FF"/>
    <w:rPr>
      <w:i/>
      <w:iCs/>
    </w:rPr>
  </w:style>
  <w:style w:type="character" w:styleId="IntenseEmphasis">
    <w:name w:val="Intense Emphasis"/>
    <w:uiPriority w:val="21"/>
    <w:qFormat/>
    <w:rsid w:val="00C706FF"/>
    <w:rPr>
      <w:b/>
      <w:bCs/>
    </w:rPr>
  </w:style>
  <w:style w:type="character" w:styleId="SubtleReference">
    <w:name w:val="Subtle Reference"/>
    <w:uiPriority w:val="31"/>
    <w:qFormat/>
    <w:rsid w:val="00C706FF"/>
    <w:rPr>
      <w:smallCaps/>
    </w:rPr>
  </w:style>
  <w:style w:type="character" w:styleId="IntenseReference">
    <w:name w:val="Intense Reference"/>
    <w:uiPriority w:val="32"/>
    <w:qFormat/>
    <w:rsid w:val="00C706FF"/>
    <w:rPr>
      <w:smallCaps/>
      <w:spacing w:val="5"/>
      <w:u w:val="single"/>
    </w:rPr>
  </w:style>
  <w:style w:type="character" w:styleId="BookTitle">
    <w:name w:val="Book Title"/>
    <w:uiPriority w:val="33"/>
    <w:qFormat/>
    <w:rsid w:val="00C706FF"/>
    <w:rPr>
      <w:i/>
      <w:iCs/>
      <w:smallCaps/>
      <w:spacing w:val="5"/>
    </w:rPr>
  </w:style>
  <w:style w:type="paragraph" w:styleId="TOCHeading">
    <w:name w:val="TOC Heading"/>
    <w:basedOn w:val="Heading1"/>
    <w:next w:val="Normal"/>
    <w:uiPriority w:val="39"/>
    <w:qFormat/>
    <w:rsid w:val="00C706FF"/>
    <w:pPr>
      <w:outlineLvl w:val="9"/>
    </w:pPr>
  </w:style>
  <w:style w:type="character" w:customStyle="1" w:styleId="knx-annotation">
    <w:name w:val="knx-annotation"/>
    <w:basedOn w:val="DefaultParagraphFont"/>
    <w:rsid w:val="00F220B8"/>
  </w:style>
  <w:style w:type="paragraph" w:customStyle="1" w:styleId="Subhead2">
    <w:name w:val="Subhead 2"/>
    <w:basedOn w:val="Normal"/>
    <w:rsid w:val="003D5300"/>
    <w:pPr>
      <w:tabs>
        <w:tab w:val="left" w:pos="1531"/>
      </w:tabs>
      <w:autoSpaceDE w:val="0"/>
      <w:autoSpaceDN w:val="0"/>
      <w:adjustRightInd w:val="0"/>
      <w:spacing w:after="0" w:line="260" w:lineRule="atLeast"/>
      <w:ind w:left="1531" w:right="1134" w:hanging="1531"/>
    </w:pPr>
    <w:rPr>
      <w:rFonts w:ascii="Univers 55" w:eastAsia="SimSun" w:hAnsi="Univers 55" w:cs="Univers 55"/>
      <w:b/>
      <w:bCs/>
      <w:color w:val="0C2D83"/>
      <w:sz w:val="20"/>
      <w:szCs w:val="20"/>
      <w:lang w:val="en-NZ" w:eastAsia="en-NZ" w:bidi="ar-SA"/>
    </w:rPr>
  </w:style>
  <w:style w:type="character" w:styleId="CommentReference">
    <w:name w:val="annotation reference"/>
    <w:basedOn w:val="DefaultParagraphFont"/>
    <w:rsid w:val="005C1CEE"/>
    <w:rPr>
      <w:sz w:val="16"/>
      <w:szCs w:val="16"/>
    </w:rPr>
  </w:style>
  <w:style w:type="paragraph" w:styleId="CommentText">
    <w:name w:val="annotation text"/>
    <w:basedOn w:val="Normal"/>
    <w:link w:val="CommentTextChar"/>
    <w:rsid w:val="005C1CEE"/>
    <w:rPr>
      <w:sz w:val="20"/>
      <w:szCs w:val="20"/>
    </w:rPr>
  </w:style>
  <w:style w:type="character" w:customStyle="1" w:styleId="CommentTextChar">
    <w:name w:val="Comment Text Char"/>
    <w:basedOn w:val="DefaultParagraphFont"/>
    <w:link w:val="CommentText"/>
    <w:rsid w:val="005C1CEE"/>
    <w:rPr>
      <w:lang w:val="en-GB" w:eastAsia="en-US" w:bidi="en-US"/>
    </w:rPr>
  </w:style>
  <w:style w:type="paragraph" w:styleId="CommentSubject">
    <w:name w:val="annotation subject"/>
    <w:basedOn w:val="CommentText"/>
    <w:next w:val="CommentText"/>
    <w:link w:val="CommentSubjectChar"/>
    <w:rsid w:val="005C1CEE"/>
    <w:rPr>
      <w:b/>
      <w:bCs/>
    </w:rPr>
  </w:style>
  <w:style w:type="character" w:customStyle="1" w:styleId="CommentSubjectChar">
    <w:name w:val="Comment Subject Char"/>
    <w:basedOn w:val="CommentTextChar"/>
    <w:link w:val="CommentSubject"/>
    <w:rsid w:val="005C1CEE"/>
    <w:rPr>
      <w:b/>
      <w:bCs/>
      <w:lang w:val="en-GB" w:eastAsia="en-US" w:bidi="en-US"/>
    </w:rPr>
  </w:style>
  <w:style w:type="paragraph" w:styleId="DocumentMap">
    <w:name w:val="Document Map"/>
    <w:basedOn w:val="Normal"/>
    <w:link w:val="DocumentMapChar"/>
    <w:rsid w:val="002F3A84"/>
    <w:rPr>
      <w:rFonts w:ascii="Tahoma" w:hAnsi="Tahoma" w:cs="Tahoma"/>
      <w:sz w:val="16"/>
      <w:szCs w:val="16"/>
    </w:rPr>
  </w:style>
  <w:style w:type="character" w:customStyle="1" w:styleId="DocumentMapChar">
    <w:name w:val="Document Map Char"/>
    <w:basedOn w:val="DefaultParagraphFont"/>
    <w:link w:val="DocumentMap"/>
    <w:rsid w:val="002F3A84"/>
    <w:rPr>
      <w:rFonts w:ascii="Tahoma" w:hAnsi="Tahoma" w:cs="Tahoma"/>
      <w:sz w:val="16"/>
      <w:szCs w:val="16"/>
      <w:lang w:val="en-GB" w:bidi="en-US"/>
    </w:rPr>
  </w:style>
  <w:style w:type="paragraph" w:styleId="NormalWeb">
    <w:name w:val="Normal (Web)"/>
    <w:basedOn w:val="Normal"/>
    <w:uiPriority w:val="99"/>
    <w:unhideWhenUsed/>
    <w:rsid w:val="0007108D"/>
    <w:pPr>
      <w:spacing w:before="100" w:beforeAutospacing="1" w:after="100" w:afterAutospacing="1" w:line="240" w:lineRule="auto"/>
    </w:pPr>
    <w:rPr>
      <w:rFonts w:ascii="Times New Roman" w:hAnsi="Times New Roman"/>
      <w:color w:val="000000"/>
      <w:sz w:val="24"/>
      <w:szCs w:val="24"/>
      <w:lang w:val="en-US" w:bidi="ar-SA"/>
    </w:rPr>
  </w:style>
  <w:style w:type="paragraph" w:customStyle="1" w:styleId="default0">
    <w:name w:val="default"/>
    <w:basedOn w:val="Normal"/>
    <w:rsid w:val="007B766D"/>
    <w:pPr>
      <w:spacing w:before="100" w:beforeAutospacing="1" w:after="100" w:afterAutospacing="1" w:line="240" w:lineRule="auto"/>
    </w:pPr>
    <w:rPr>
      <w:rFonts w:ascii="Times New Roman" w:hAnsi="Times New Roman"/>
      <w:sz w:val="24"/>
      <w:szCs w:val="24"/>
      <w:lang w:val="en-US" w:bidi="ar-SA"/>
    </w:rPr>
  </w:style>
  <w:style w:type="character" w:customStyle="1" w:styleId="aqj">
    <w:name w:val="aqj"/>
    <w:basedOn w:val="DefaultParagraphFont"/>
    <w:rsid w:val="00CC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2861">
      <w:bodyDiv w:val="1"/>
      <w:marLeft w:val="0"/>
      <w:marRight w:val="0"/>
      <w:marTop w:val="0"/>
      <w:marBottom w:val="0"/>
      <w:divBdr>
        <w:top w:val="none" w:sz="0" w:space="0" w:color="auto"/>
        <w:left w:val="none" w:sz="0" w:space="0" w:color="auto"/>
        <w:bottom w:val="none" w:sz="0" w:space="0" w:color="auto"/>
        <w:right w:val="none" w:sz="0" w:space="0" w:color="auto"/>
      </w:divBdr>
    </w:div>
    <w:div w:id="150413415">
      <w:bodyDiv w:val="1"/>
      <w:marLeft w:val="0"/>
      <w:marRight w:val="0"/>
      <w:marTop w:val="0"/>
      <w:marBottom w:val="0"/>
      <w:divBdr>
        <w:top w:val="none" w:sz="0" w:space="0" w:color="auto"/>
        <w:left w:val="none" w:sz="0" w:space="0" w:color="auto"/>
        <w:bottom w:val="none" w:sz="0" w:space="0" w:color="auto"/>
        <w:right w:val="none" w:sz="0" w:space="0" w:color="auto"/>
      </w:divBdr>
    </w:div>
    <w:div w:id="163517799">
      <w:bodyDiv w:val="1"/>
      <w:marLeft w:val="0"/>
      <w:marRight w:val="0"/>
      <w:marTop w:val="0"/>
      <w:marBottom w:val="0"/>
      <w:divBdr>
        <w:top w:val="none" w:sz="0" w:space="0" w:color="auto"/>
        <w:left w:val="none" w:sz="0" w:space="0" w:color="auto"/>
        <w:bottom w:val="none" w:sz="0" w:space="0" w:color="auto"/>
        <w:right w:val="none" w:sz="0" w:space="0" w:color="auto"/>
      </w:divBdr>
    </w:div>
    <w:div w:id="165024405">
      <w:bodyDiv w:val="1"/>
      <w:marLeft w:val="0"/>
      <w:marRight w:val="0"/>
      <w:marTop w:val="0"/>
      <w:marBottom w:val="0"/>
      <w:divBdr>
        <w:top w:val="none" w:sz="0" w:space="0" w:color="auto"/>
        <w:left w:val="none" w:sz="0" w:space="0" w:color="auto"/>
        <w:bottom w:val="none" w:sz="0" w:space="0" w:color="auto"/>
        <w:right w:val="none" w:sz="0" w:space="0" w:color="auto"/>
      </w:divBdr>
    </w:div>
    <w:div w:id="198976977">
      <w:bodyDiv w:val="1"/>
      <w:marLeft w:val="0"/>
      <w:marRight w:val="0"/>
      <w:marTop w:val="0"/>
      <w:marBottom w:val="0"/>
      <w:divBdr>
        <w:top w:val="none" w:sz="0" w:space="0" w:color="auto"/>
        <w:left w:val="none" w:sz="0" w:space="0" w:color="auto"/>
        <w:bottom w:val="none" w:sz="0" w:space="0" w:color="auto"/>
        <w:right w:val="none" w:sz="0" w:space="0" w:color="auto"/>
      </w:divBdr>
    </w:div>
    <w:div w:id="248737870">
      <w:bodyDiv w:val="1"/>
      <w:marLeft w:val="0"/>
      <w:marRight w:val="0"/>
      <w:marTop w:val="0"/>
      <w:marBottom w:val="0"/>
      <w:divBdr>
        <w:top w:val="none" w:sz="0" w:space="0" w:color="auto"/>
        <w:left w:val="none" w:sz="0" w:space="0" w:color="auto"/>
        <w:bottom w:val="none" w:sz="0" w:space="0" w:color="auto"/>
        <w:right w:val="none" w:sz="0" w:space="0" w:color="auto"/>
      </w:divBdr>
    </w:div>
    <w:div w:id="290282763">
      <w:bodyDiv w:val="1"/>
      <w:marLeft w:val="0"/>
      <w:marRight w:val="0"/>
      <w:marTop w:val="0"/>
      <w:marBottom w:val="0"/>
      <w:divBdr>
        <w:top w:val="none" w:sz="0" w:space="0" w:color="auto"/>
        <w:left w:val="none" w:sz="0" w:space="0" w:color="auto"/>
        <w:bottom w:val="none" w:sz="0" w:space="0" w:color="auto"/>
        <w:right w:val="none" w:sz="0" w:space="0" w:color="auto"/>
      </w:divBdr>
    </w:div>
    <w:div w:id="292253685">
      <w:bodyDiv w:val="1"/>
      <w:marLeft w:val="0"/>
      <w:marRight w:val="0"/>
      <w:marTop w:val="0"/>
      <w:marBottom w:val="0"/>
      <w:divBdr>
        <w:top w:val="none" w:sz="0" w:space="0" w:color="auto"/>
        <w:left w:val="none" w:sz="0" w:space="0" w:color="auto"/>
        <w:bottom w:val="none" w:sz="0" w:space="0" w:color="auto"/>
        <w:right w:val="none" w:sz="0" w:space="0" w:color="auto"/>
      </w:divBdr>
    </w:div>
    <w:div w:id="304704289">
      <w:bodyDiv w:val="1"/>
      <w:marLeft w:val="0"/>
      <w:marRight w:val="0"/>
      <w:marTop w:val="0"/>
      <w:marBottom w:val="0"/>
      <w:divBdr>
        <w:top w:val="none" w:sz="0" w:space="0" w:color="auto"/>
        <w:left w:val="none" w:sz="0" w:space="0" w:color="auto"/>
        <w:bottom w:val="none" w:sz="0" w:space="0" w:color="auto"/>
        <w:right w:val="none" w:sz="0" w:space="0" w:color="auto"/>
      </w:divBdr>
    </w:div>
    <w:div w:id="369380576">
      <w:bodyDiv w:val="1"/>
      <w:marLeft w:val="0"/>
      <w:marRight w:val="0"/>
      <w:marTop w:val="0"/>
      <w:marBottom w:val="0"/>
      <w:divBdr>
        <w:top w:val="none" w:sz="0" w:space="0" w:color="auto"/>
        <w:left w:val="none" w:sz="0" w:space="0" w:color="auto"/>
        <w:bottom w:val="none" w:sz="0" w:space="0" w:color="auto"/>
        <w:right w:val="none" w:sz="0" w:space="0" w:color="auto"/>
      </w:divBdr>
    </w:div>
    <w:div w:id="384572522">
      <w:bodyDiv w:val="1"/>
      <w:marLeft w:val="0"/>
      <w:marRight w:val="0"/>
      <w:marTop w:val="0"/>
      <w:marBottom w:val="0"/>
      <w:divBdr>
        <w:top w:val="none" w:sz="0" w:space="0" w:color="auto"/>
        <w:left w:val="none" w:sz="0" w:space="0" w:color="auto"/>
        <w:bottom w:val="none" w:sz="0" w:space="0" w:color="auto"/>
        <w:right w:val="none" w:sz="0" w:space="0" w:color="auto"/>
      </w:divBdr>
    </w:div>
    <w:div w:id="407771919">
      <w:bodyDiv w:val="1"/>
      <w:marLeft w:val="0"/>
      <w:marRight w:val="0"/>
      <w:marTop w:val="0"/>
      <w:marBottom w:val="0"/>
      <w:divBdr>
        <w:top w:val="none" w:sz="0" w:space="0" w:color="auto"/>
        <w:left w:val="none" w:sz="0" w:space="0" w:color="auto"/>
        <w:bottom w:val="none" w:sz="0" w:space="0" w:color="auto"/>
        <w:right w:val="none" w:sz="0" w:space="0" w:color="auto"/>
      </w:divBdr>
    </w:div>
    <w:div w:id="427506393">
      <w:bodyDiv w:val="1"/>
      <w:marLeft w:val="0"/>
      <w:marRight w:val="0"/>
      <w:marTop w:val="0"/>
      <w:marBottom w:val="0"/>
      <w:divBdr>
        <w:top w:val="none" w:sz="0" w:space="0" w:color="auto"/>
        <w:left w:val="none" w:sz="0" w:space="0" w:color="auto"/>
        <w:bottom w:val="none" w:sz="0" w:space="0" w:color="auto"/>
        <w:right w:val="none" w:sz="0" w:space="0" w:color="auto"/>
      </w:divBdr>
    </w:div>
    <w:div w:id="432406788">
      <w:bodyDiv w:val="1"/>
      <w:marLeft w:val="0"/>
      <w:marRight w:val="0"/>
      <w:marTop w:val="0"/>
      <w:marBottom w:val="0"/>
      <w:divBdr>
        <w:top w:val="none" w:sz="0" w:space="0" w:color="auto"/>
        <w:left w:val="none" w:sz="0" w:space="0" w:color="auto"/>
        <w:bottom w:val="none" w:sz="0" w:space="0" w:color="auto"/>
        <w:right w:val="none" w:sz="0" w:space="0" w:color="auto"/>
      </w:divBdr>
    </w:div>
    <w:div w:id="443840583">
      <w:bodyDiv w:val="1"/>
      <w:marLeft w:val="0"/>
      <w:marRight w:val="0"/>
      <w:marTop w:val="0"/>
      <w:marBottom w:val="0"/>
      <w:divBdr>
        <w:top w:val="none" w:sz="0" w:space="0" w:color="auto"/>
        <w:left w:val="none" w:sz="0" w:space="0" w:color="auto"/>
        <w:bottom w:val="none" w:sz="0" w:space="0" w:color="auto"/>
        <w:right w:val="none" w:sz="0" w:space="0" w:color="auto"/>
      </w:divBdr>
      <w:divsChild>
        <w:div w:id="797377190">
          <w:marLeft w:val="0"/>
          <w:marRight w:val="0"/>
          <w:marTop w:val="0"/>
          <w:marBottom w:val="0"/>
          <w:divBdr>
            <w:top w:val="none" w:sz="0" w:space="0" w:color="auto"/>
            <w:left w:val="none" w:sz="0" w:space="0" w:color="auto"/>
            <w:bottom w:val="none" w:sz="0" w:space="0" w:color="auto"/>
            <w:right w:val="none" w:sz="0" w:space="0" w:color="auto"/>
          </w:divBdr>
          <w:divsChild>
            <w:div w:id="653877156">
              <w:marLeft w:val="0"/>
              <w:marRight w:val="0"/>
              <w:marTop w:val="0"/>
              <w:marBottom w:val="0"/>
              <w:divBdr>
                <w:top w:val="none" w:sz="0" w:space="0" w:color="auto"/>
                <w:left w:val="none" w:sz="0" w:space="0" w:color="auto"/>
                <w:bottom w:val="none" w:sz="0" w:space="0" w:color="auto"/>
                <w:right w:val="none" w:sz="0" w:space="0" w:color="auto"/>
              </w:divBdr>
              <w:divsChild>
                <w:div w:id="6388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626">
      <w:bodyDiv w:val="1"/>
      <w:marLeft w:val="0"/>
      <w:marRight w:val="0"/>
      <w:marTop w:val="0"/>
      <w:marBottom w:val="0"/>
      <w:divBdr>
        <w:top w:val="none" w:sz="0" w:space="0" w:color="auto"/>
        <w:left w:val="none" w:sz="0" w:space="0" w:color="auto"/>
        <w:bottom w:val="none" w:sz="0" w:space="0" w:color="auto"/>
        <w:right w:val="none" w:sz="0" w:space="0" w:color="auto"/>
      </w:divBdr>
    </w:div>
    <w:div w:id="557396555">
      <w:bodyDiv w:val="1"/>
      <w:marLeft w:val="0"/>
      <w:marRight w:val="0"/>
      <w:marTop w:val="0"/>
      <w:marBottom w:val="0"/>
      <w:divBdr>
        <w:top w:val="none" w:sz="0" w:space="0" w:color="auto"/>
        <w:left w:val="none" w:sz="0" w:space="0" w:color="auto"/>
        <w:bottom w:val="none" w:sz="0" w:space="0" w:color="auto"/>
        <w:right w:val="none" w:sz="0" w:space="0" w:color="auto"/>
      </w:divBdr>
    </w:div>
    <w:div w:id="594290257">
      <w:bodyDiv w:val="1"/>
      <w:marLeft w:val="0"/>
      <w:marRight w:val="0"/>
      <w:marTop w:val="0"/>
      <w:marBottom w:val="0"/>
      <w:divBdr>
        <w:top w:val="none" w:sz="0" w:space="0" w:color="auto"/>
        <w:left w:val="none" w:sz="0" w:space="0" w:color="auto"/>
        <w:bottom w:val="none" w:sz="0" w:space="0" w:color="auto"/>
        <w:right w:val="none" w:sz="0" w:space="0" w:color="auto"/>
      </w:divBdr>
    </w:div>
    <w:div w:id="606617839">
      <w:bodyDiv w:val="1"/>
      <w:marLeft w:val="0"/>
      <w:marRight w:val="0"/>
      <w:marTop w:val="0"/>
      <w:marBottom w:val="0"/>
      <w:divBdr>
        <w:top w:val="none" w:sz="0" w:space="0" w:color="auto"/>
        <w:left w:val="none" w:sz="0" w:space="0" w:color="auto"/>
        <w:bottom w:val="none" w:sz="0" w:space="0" w:color="auto"/>
        <w:right w:val="none" w:sz="0" w:space="0" w:color="auto"/>
      </w:divBdr>
    </w:div>
    <w:div w:id="641079228">
      <w:bodyDiv w:val="1"/>
      <w:marLeft w:val="0"/>
      <w:marRight w:val="0"/>
      <w:marTop w:val="0"/>
      <w:marBottom w:val="0"/>
      <w:divBdr>
        <w:top w:val="none" w:sz="0" w:space="0" w:color="auto"/>
        <w:left w:val="none" w:sz="0" w:space="0" w:color="auto"/>
        <w:bottom w:val="none" w:sz="0" w:space="0" w:color="auto"/>
        <w:right w:val="none" w:sz="0" w:space="0" w:color="auto"/>
      </w:divBdr>
    </w:div>
    <w:div w:id="642933386">
      <w:bodyDiv w:val="1"/>
      <w:marLeft w:val="0"/>
      <w:marRight w:val="0"/>
      <w:marTop w:val="0"/>
      <w:marBottom w:val="0"/>
      <w:divBdr>
        <w:top w:val="none" w:sz="0" w:space="0" w:color="auto"/>
        <w:left w:val="none" w:sz="0" w:space="0" w:color="auto"/>
        <w:bottom w:val="none" w:sz="0" w:space="0" w:color="auto"/>
        <w:right w:val="none" w:sz="0" w:space="0" w:color="auto"/>
      </w:divBdr>
      <w:divsChild>
        <w:div w:id="483858781">
          <w:marLeft w:val="0"/>
          <w:marRight w:val="0"/>
          <w:marTop w:val="0"/>
          <w:marBottom w:val="0"/>
          <w:divBdr>
            <w:top w:val="none" w:sz="0" w:space="0" w:color="auto"/>
            <w:left w:val="none" w:sz="0" w:space="0" w:color="auto"/>
            <w:bottom w:val="none" w:sz="0" w:space="0" w:color="auto"/>
            <w:right w:val="none" w:sz="0" w:space="0" w:color="auto"/>
          </w:divBdr>
          <w:divsChild>
            <w:div w:id="1087117501">
              <w:marLeft w:val="0"/>
              <w:marRight w:val="0"/>
              <w:marTop w:val="300"/>
              <w:marBottom w:val="450"/>
              <w:divBdr>
                <w:top w:val="none" w:sz="0" w:space="0" w:color="auto"/>
                <w:left w:val="none" w:sz="0" w:space="0" w:color="auto"/>
                <w:bottom w:val="none" w:sz="0" w:space="0" w:color="auto"/>
                <w:right w:val="none" w:sz="0" w:space="0" w:color="auto"/>
              </w:divBdr>
              <w:divsChild>
                <w:div w:id="973871037">
                  <w:marLeft w:val="180"/>
                  <w:marRight w:val="180"/>
                  <w:marTop w:val="0"/>
                  <w:marBottom w:val="0"/>
                  <w:divBdr>
                    <w:top w:val="none" w:sz="0" w:space="0" w:color="auto"/>
                    <w:left w:val="none" w:sz="0" w:space="0" w:color="auto"/>
                    <w:bottom w:val="none" w:sz="0" w:space="0" w:color="auto"/>
                    <w:right w:val="none" w:sz="0" w:space="0" w:color="auto"/>
                  </w:divBdr>
                  <w:divsChild>
                    <w:div w:id="1368064302">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sChild>
        </w:div>
      </w:divsChild>
    </w:div>
    <w:div w:id="688331074">
      <w:bodyDiv w:val="1"/>
      <w:marLeft w:val="0"/>
      <w:marRight w:val="0"/>
      <w:marTop w:val="0"/>
      <w:marBottom w:val="0"/>
      <w:divBdr>
        <w:top w:val="none" w:sz="0" w:space="0" w:color="auto"/>
        <w:left w:val="none" w:sz="0" w:space="0" w:color="auto"/>
        <w:bottom w:val="none" w:sz="0" w:space="0" w:color="auto"/>
        <w:right w:val="none" w:sz="0" w:space="0" w:color="auto"/>
      </w:divBdr>
    </w:div>
    <w:div w:id="696080397">
      <w:bodyDiv w:val="1"/>
      <w:marLeft w:val="0"/>
      <w:marRight w:val="0"/>
      <w:marTop w:val="0"/>
      <w:marBottom w:val="0"/>
      <w:divBdr>
        <w:top w:val="none" w:sz="0" w:space="0" w:color="auto"/>
        <w:left w:val="none" w:sz="0" w:space="0" w:color="auto"/>
        <w:bottom w:val="none" w:sz="0" w:space="0" w:color="auto"/>
        <w:right w:val="none" w:sz="0" w:space="0" w:color="auto"/>
      </w:divBdr>
      <w:divsChild>
        <w:div w:id="1176461652">
          <w:marLeft w:val="691"/>
          <w:marRight w:val="0"/>
          <w:marTop w:val="0"/>
          <w:marBottom w:val="0"/>
          <w:divBdr>
            <w:top w:val="none" w:sz="0" w:space="0" w:color="auto"/>
            <w:left w:val="none" w:sz="0" w:space="0" w:color="auto"/>
            <w:bottom w:val="none" w:sz="0" w:space="0" w:color="auto"/>
            <w:right w:val="none" w:sz="0" w:space="0" w:color="auto"/>
          </w:divBdr>
        </w:div>
        <w:div w:id="1902054005">
          <w:marLeft w:val="691"/>
          <w:marRight w:val="0"/>
          <w:marTop w:val="0"/>
          <w:marBottom w:val="0"/>
          <w:divBdr>
            <w:top w:val="none" w:sz="0" w:space="0" w:color="auto"/>
            <w:left w:val="none" w:sz="0" w:space="0" w:color="auto"/>
            <w:bottom w:val="none" w:sz="0" w:space="0" w:color="auto"/>
            <w:right w:val="none" w:sz="0" w:space="0" w:color="auto"/>
          </w:divBdr>
        </w:div>
      </w:divsChild>
    </w:div>
    <w:div w:id="763695348">
      <w:bodyDiv w:val="1"/>
      <w:marLeft w:val="0"/>
      <w:marRight w:val="0"/>
      <w:marTop w:val="0"/>
      <w:marBottom w:val="0"/>
      <w:divBdr>
        <w:top w:val="none" w:sz="0" w:space="0" w:color="auto"/>
        <w:left w:val="none" w:sz="0" w:space="0" w:color="auto"/>
        <w:bottom w:val="none" w:sz="0" w:space="0" w:color="auto"/>
        <w:right w:val="none" w:sz="0" w:space="0" w:color="auto"/>
      </w:divBdr>
    </w:div>
    <w:div w:id="793987039">
      <w:bodyDiv w:val="1"/>
      <w:marLeft w:val="0"/>
      <w:marRight w:val="0"/>
      <w:marTop w:val="0"/>
      <w:marBottom w:val="0"/>
      <w:divBdr>
        <w:top w:val="none" w:sz="0" w:space="0" w:color="auto"/>
        <w:left w:val="none" w:sz="0" w:space="0" w:color="auto"/>
        <w:bottom w:val="none" w:sz="0" w:space="0" w:color="auto"/>
        <w:right w:val="none" w:sz="0" w:space="0" w:color="auto"/>
      </w:divBdr>
    </w:div>
    <w:div w:id="878325566">
      <w:bodyDiv w:val="1"/>
      <w:marLeft w:val="0"/>
      <w:marRight w:val="0"/>
      <w:marTop w:val="0"/>
      <w:marBottom w:val="0"/>
      <w:divBdr>
        <w:top w:val="none" w:sz="0" w:space="0" w:color="auto"/>
        <w:left w:val="none" w:sz="0" w:space="0" w:color="auto"/>
        <w:bottom w:val="none" w:sz="0" w:space="0" w:color="auto"/>
        <w:right w:val="none" w:sz="0" w:space="0" w:color="auto"/>
      </w:divBdr>
    </w:div>
    <w:div w:id="933588457">
      <w:bodyDiv w:val="1"/>
      <w:marLeft w:val="0"/>
      <w:marRight w:val="0"/>
      <w:marTop w:val="0"/>
      <w:marBottom w:val="0"/>
      <w:divBdr>
        <w:top w:val="none" w:sz="0" w:space="0" w:color="auto"/>
        <w:left w:val="none" w:sz="0" w:space="0" w:color="auto"/>
        <w:bottom w:val="none" w:sz="0" w:space="0" w:color="auto"/>
        <w:right w:val="none" w:sz="0" w:space="0" w:color="auto"/>
      </w:divBdr>
    </w:div>
    <w:div w:id="949973400">
      <w:bodyDiv w:val="1"/>
      <w:marLeft w:val="0"/>
      <w:marRight w:val="0"/>
      <w:marTop w:val="0"/>
      <w:marBottom w:val="0"/>
      <w:divBdr>
        <w:top w:val="none" w:sz="0" w:space="0" w:color="auto"/>
        <w:left w:val="none" w:sz="0" w:space="0" w:color="auto"/>
        <w:bottom w:val="none" w:sz="0" w:space="0" w:color="auto"/>
        <w:right w:val="none" w:sz="0" w:space="0" w:color="auto"/>
      </w:divBdr>
    </w:div>
    <w:div w:id="1002319328">
      <w:bodyDiv w:val="1"/>
      <w:marLeft w:val="0"/>
      <w:marRight w:val="0"/>
      <w:marTop w:val="0"/>
      <w:marBottom w:val="0"/>
      <w:divBdr>
        <w:top w:val="none" w:sz="0" w:space="0" w:color="auto"/>
        <w:left w:val="none" w:sz="0" w:space="0" w:color="auto"/>
        <w:bottom w:val="none" w:sz="0" w:space="0" w:color="auto"/>
        <w:right w:val="none" w:sz="0" w:space="0" w:color="auto"/>
      </w:divBdr>
    </w:div>
    <w:div w:id="1048651762">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
    <w:div w:id="1085568127">
      <w:bodyDiv w:val="1"/>
      <w:marLeft w:val="0"/>
      <w:marRight w:val="0"/>
      <w:marTop w:val="0"/>
      <w:marBottom w:val="0"/>
      <w:divBdr>
        <w:top w:val="none" w:sz="0" w:space="0" w:color="auto"/>
        <w:left w:val="none" w:sz="0" w:space="0" w:color="auto"/>
        <w:bottom w:val="none" w:sz="0" w:space="0" w:color="auto"/>
        <w:right w:val="none" w:sz="0" w:space="0" w:color="auto"/>
      </w:divBdr>
    </w:div>
    <w:div w:id="1101954799">
      <w:bodyDiv w:val="1"/>
      <w:marLeft w:val="0"/>
      <w:marRight w:val="0"/>
      <w:marTop w:val="0"/>
      <w:marBottom w:val="0"/>
      <w:divBdr>
        <w:top w:val="none" w:sz="0" w:space="0" w:color="auto"/>
        <w:left w:val="none" w:sz="0" w:space="0" w:color="auto"/>
        <w:bottom w:val="none" w:sz="0" w:space="0" w:color="auto"/>
        <w:right w:val="none" w:sz="0" w:space="0" w:color="auto"/>
      </w:divBdr>
    </w:div>
    <w:div w:id="1147893583">
      <w:bodyDiv w:val="1"/>
      <w:marLeft w:val="0"/>
      <w:marRight w:val="0"/>
      <w:marTop w:val="0"/>
      <w:marBottom w:val="0"/>
      <w:divBdr>
        <w:top w:val="none" w:sz="0" w:space="0" w:color="auto"/>
        <w:left w:val="none" w:sz="0" w:space="0" w:color="auto"/>
        <w:bottom w:val="none" w:sz="0" w:space="0" w:color="auto"/>
        <w:right w:val="none" w:sz="0" w:space="0" w:color="auto"/>
      </w:divBdr>
    </w:div>
    <w:div w:id="1167285736">
      <w:bodyDiv w:val="1"/>
      <w:marLeft w:val="0"/>
      <w:marRight w:val="0"/>
      <w:marTop w:val="0"/>
      <w:marBottom w:val="0"/>
      <w:divBdr>
        <w:top w:val="none" w:sz="0" w:space="0" w:color="auto"/>
        <w:left w:val="none" w:sz="0" w:space="0" w:color="auto"/>
        <w:bottom w:val="none" w:sz="0" w:space="0" w:color="auto"/>
        <w:right w:val="none" w:sz="0" w:space="0" w:color="auto"/>
      </w:divBdr>
    </w:div>
    <w:div w:id="1196893800">
      <w:bodyDiv w:val="1"/>
      <w:marLeft w:val="0"/>
      <w:marRight w:val="0"/>
      <w:marTop w:val="0"/>
      <w:marBottom w:val="0"/>
      <w:divBdr>
        <w:top w:val="none" w:sz="0" w:space="0" w:color="auto"/>
        <w:left w:val="none" w:sz="0" w:space="0" w:color="auto"/>
        <w:bottom w:val="none" w:sz="0" w:space="0" w:color="auto"/>
        <w:right w:val="none" w:sz="0" w:space="0" w:color="auto"/>
      </w:divBdr>
    </w:div>
    <w:div w:id="1196968579">
      <w:bodyDiv w:val="1"/>
      <w:marLeft w:val="0"/>
      <w:marRight w:val="0"/>
      <w:marTop w:val="0"/>
      <w:marBottom w:val="0"/>
      <w:divBdr>
        <w:top w:val="none" w:sz="0" w:space="0" w:color="auto"/>
        <w:left w:val="none" w:sz="0" w:space="0" w:color="auto"/>
        <w:bottom w:val="none" w:sz="0" w:space="0" w:color="auto"/>
        <w:right w:val="none" w:sz="0" w:space="0" w:color="auto"/>
      </w:divBdr>
    </w:div>
    <w:div w:id="1207377541">
      <w:bodyDiv w:val="1"/>
      <w:marLeft w:val="0"/>
      <w:marRight w:val="0"/>
      <w:marTop w:val="0"/>
      <w:marBottom w:val="0"/>
      <w:divBdr>
        <w:top w:val="none" w:sz="0" w:space="0" w:color="auto"/>
        <w:left w:val="none" w:sz="0" w:space="0" w:color="auto"/>
        <w:bottom w:val="none" w:sz="0" w:space="0" w:color="auto"/>
        <w:right w:val="none" w:sz="0" w:space="0" w:color="auto"/>
      </w:divBdr>
    </w:div>
    <w:div w:id="1215654113">
      <w:bodyDiv w:val="1"/>
      <w:marLeft w:val="0"/>
      <w:marRight w:val="0"/>
      <w:marTop w:val="0"/>
      <w:marBottom w:val="0"/>
      <w:divBdr>
        <w:top w:val="none" w:sz="0" w:space="0" w:color="auto"/>
        <w:left w:val="none" w:sz="0" w:space="0" w:color="auto"/>
        <w:bottom w:val="none" w:sz="0" w:space="0" w:color="auto"/>
        <w:right w:val="none" w:sz="0" w:space="0" w:color="auto"/>
      </w:divBdr>
    </w:div>
    <w:div w:id="1224297402">
      <w:bodyDiv w:val="1"/>
      <w:marLeft w:val="0"/>
      <w:marRight w:val="0"/>
      <w:marTop w:val="0"/>
      <w:marBottom w:val="0"/>
      <w:divBdr>
        <w:top w:val="none" w:sz="0" w:space="0" w:color="auto"/>
        <w:left w:val="none" w:sz="0" w:space="0" w:color="auto"/>
        <w:bottom w:val="none" w:sz="0" w:space="0" w:color="auto"/>
        <w:right w:val="none" w:sz="0" w:space="0" w:color="auto"/>
      </w:divBdr>
    </w:div>
    <w:div w:id="1226531092">
      <w:bodyDiv w:val="1"/>
      <w:marLeft w:val="0"/>
      <w:marRight w:val="0"/>
      <w:marTop w:val="0"/>
      <w:marBottom w:val="0"/>
      <w:divBdr>
        <w:top w:val="none" w:sz="0" w:space="0" w:color="auto"/>
        <w:left w:val="none" w:sz="0" w:space="0" w:color="auto"/>
        <w:bottom w:val="none" w:sz="0" w:space="0" w:color="auto"/>
        <w:right w:val="none" w:sz="0" w:space="0" w:color="auto"/>
      </w:divBdr>
    </w:div>
    <w:div w:id="1239054519">
      <w:bodyDiv w:val="1"/>
      <w:marLeft w:val="0"/>
      <w:marRight w:val="0"/>
      <w:marTop w:val="0"/>
      <w:marBottom w:val="0"/>
      <w:divBdr>
        <w:top w:val="none" w:sz="0" w:space="0" w:color="auto"/>
        <w:left w:val="none" w:sz="0" w:space="0" w:color="auto"/>
        <w:bottom w:val="none" w:sz="0" w:space="0" w:color="auto"/>
        <w:right w:val="none" w:sz="0" w:space="0" w:color="auto"/>
      </w:divBdr>
    </w:div>
    <w:div w:id="1242642784">
      <w:bodyDiv w:val="1"/>
      <w:marLeft w:val="0"/>
      <w:marRight w:val="0"/>
      <w:marTop w:val="0"/>
      <w:marBottom w:val="0"/>
      <w:divBdr>
        <w:top w:val="none" w:sz="0" w:space="0" w:color="auto"/>
        <w:left w:val="none" w:sz="0" w:space="0" w:color="auto"/>
        <w:bottom w:val="none" w:sz="0" w:space="0" w:color="auto"/>
        <w:right w:val="none" w:sz="0" w:space="0" w:color="auto"/>
      </w:divBdr>
    </w:div>
    <w:div w:id="1266813501">
      <w:bodyDiv w:val="1"/>
      <w:marLeft w:val="0"/>
      <w:marRight w:val="0"/>
      <w:marTop w:val="0"/>
      <w:marBottom w:val="0"/>
      <w:divBdr>
        <w:top w:val="none" w:sz="0" w:space="0" w:color="auto"/>
        <w:left w:val="none" w:sz="0" w:space="0" w:color="auto"/>
        <w:bottom w:val="none" w:sz="0" w:space="0" w:color="auto"/>
        <w:right w:val="none" w:sz="0" w:space="0" w:color="auto"/>
      </w:divBdr>
    </w:div>
    <w:div w:id="1271661554">
      <w:bodyDiv w:val="1"/>
      <w:marLeft w:val="0"/>
      <w:marRight w:val="0"/>
      <w:marTop w:val="0"/>
      <w:marBottom w:val="0"/>
      <w:divBdr>
        <w:top w:val="none" w:sz="0" w:space="0" w:color="auto"/>
        <w:left w:val="none" w:sz="0" w:space="0" w:color="auto"/>
        <w:bottom w:val="none" w:sz="0" w:space="0" w:color="auto"/>
        <w:right w:val="none" w:sz="0" w:space="0" w:color="auto"/>
      </w:divBdr>
    </w:div>
    <w:div w:id="1335916044">
      <w:bodyDiv w:val="1"/>
      <w:marLeft w:val="0"/>
      <w:marRight w:val="0"/>
      <w:marTop w:val="0"/>
      <w:marBottom w:val="0"/>
      <w:divBdr>
        <w:top w:val="none" w:sz="0" w:space="0" w:color="auto"/>
        <w:left w:val="none" w:sz="0" w:space="0" w:color="auto"/>
        <w:bottom w:val="none" w:sz="0" w:space="0" w:color="auto"/>
        <w:right w:val="none" w:sz="0" w:space="0" w:color="auto"/>
      </w:divBdr>
    </w:div>
    <w:div w:id="1368946185">
      <w:bodyDiv w:val="1"/>
      <w:marLeft w:val="0"/>
      <w:marRight w:val="0"/>
      <w:marTop w:val="0"/>
      <w:marBottom w:val="0"/>
      <w:divBdr>
        <w:top w:val="none" w:sz="0" w:space="0" w:color="auto"/>
        <w:left w:val="none" w:sz="0" w:space="0" w:color="auto"/>
        <w:bottom w:val="none" w:sz="0" w:space="0" w:color="auto"/>
        <w:right w:val="none" w:sz="0" w:space="0" w:color="auto"/>
      </w:divBdr>
    </w:div>
    <w:div w:id="1426725707">
      <w:bodyDiv w:val="1"/>
      <w:marLeft w:val="0"/>
      <w:marRight w:val="0"/>
      <w:marTop w:val="0"/>
      <w:marBottom w:val="0"/>
      <w:divBdr>
        <w:top w:val="none" w:sz="0" w:space="0" w:color="auto"/>
        <w:left w:val="none" w:sz="0" w:space="0" w:color="auto"/>
        <w:bottom w:val="none" w:sz="0" w:space="0" w:color="auto"/>
        <w:right w:val="none" w:sz="0" w:space="0" w:color="auto"/>
      </w:divBdr>
      <w:divsChild>
        <w:div w:id="335772676">
          <w:marLeft w:val="0"/>
          <w:marRight w:val="0"/>
          <w:marTop w:val="0"/>
          <w:marBottom w:val="0"/>
          <w:divBdr>
            <w:top w:val="none" w:sz="0" w:space="0" w:color="auto"/>
            <w:left w:val="none" w:sz="0" w:space="0" w:color="auto"/>
            <w:bottom w:val="none" w:sz="0" w:space="0" w:color="auto"/>
            <w:right w:val="none" w:sz="0" w:space="0" w:color="auto"/>
          </w:divBdr>
        </w:div>
        <w:div w:id="1458524798">
          <w:marLeft w:val="0"/>
          <w:marRight w:val="0"/>
          <w:marTop w:val="0"/>
          <w:marBottom w:val="0"/>
          <w:divBdr>
            <w:top w:val="none" w:sz="0" w:space="0" w:color="auto"/>
            <w:left w:val="none" w:sz="0" w:space="0" w:color="auto"/>
            <w:bottom w:val="none" w:sz="0" w:space="0" w:color="auto"/>
            <w:right w:val="none" w:sz="0" w:space="0" w:color="auto"/>
          </w:divBdr>
        </w:div>
      </w:divsChild>
    </w:div>
    <w:div w:id="1468162732">
      <w:bodyDiv w:val="1"/>
      <w:marLeft w:val="0"/>
      <w:marRight w:val="0"/>
      <w:marTop w:val="0"/>
      <w:marBottom w:val="0"/>
      <w:divBdr>
        <w:top w:val="none" w:sz="0" w:space="0" w:color="auto"/>
        <w:left w:val="none" w:sz="0" w:space="0" w:color="auto"/>
        <w:bottom w:val="none" w:sz="0" w:space="0" w:color="auto"/>
        <w:right w:val="none" w:sz="0" w:space="0" w:color="auto"/>
      </w:divBdr>
    </w:div>
    <w:div w:id="1471707455">
      <w:bodyDiv w:val="1"/>
      <w:marLeft w:val="0"/>
      <w:marRight w:val="0"/>
      <w:marTop w:val="0"/>
      <w:marBottom w:val="0"/>
      <w:divBdr>
        <w:top w:val="none" w:sz="0" w:space="0" w:color="auto"/>
        <w:left w:val="none" w:sz="0" w:space="0" w:color="auto"/>
        <w:bottom w:val="none" w:sz="0" w:space="0" w:color="auto"/>
        <w:right w:val="none" w:sz="0" w:space="0" w:color="auto"/>
      </w:divBdr>
    </w:div>
    <w:div w:id="1517884199">
      <w:bodyDiv w:val="1"/>
      <w:marLeft w:val="0"/>
      <w:marRight w:val="0"/>
      <w:marTop w:val="0"/>
      <w:marBottom w:val="0"/>
      <w:divBdr>
        <w:top w:val="none" w:sz="0" w:space="0" w:color="auto"/>
        <w:left w:val="none" w:sz="0" w:space="0" w:color="auto"/>
        <w:bottom w:val="none" w:sz="0" w:space="0" w:color="auto"/>
        <w:right w:val="none" w:sz="0" w:space="0" w:color="auto"/>
      </w:divBdr>
    </w:div>
    <w:div w:id="1527448709">
      <w:bodyDiv w:val="1"/>
      <w:marLeft w:val="0"/>
      <w:marRight w:val="0"/>
      <w:marTop w:val="0"/>
      <w:marBottom w:val="0"/>
      <w:divBdr>
        <w:top w:val="none" w:sz="0" w:space="0" w:color="auto"/>
        <w:left w:val="none" w:sz="0" w:space="0" w:color="auto"/>
        <w:bottom w:val="none" w:sz="0" w:space="0" w:color="auto"/>
        <w:right w:val="none" w:sz="0" w:space="0" w:color="auto"/>
      </w:divBdr>
    </w:div>
    <w:div w:id="1539969570">
      <w:bodyDiv w:val="1"/>
      <w:marLeft w:val="0"/>
      <w:marRight w:val="0"/>
      <w:marTop w:val="0"/>
      <w:marBottom w:val="0"/>
      <w:divBdr>
        <w:top w:val="none" w:sz="0" w:space="0" w:color="auto"/>
        <w:left w:val="none" w:sz="0" w:space="0" w:color="auto"/>
        <w:bottom w:val="none" w:sz="0" w:space="0" w:color="auto"/>
        <w:right w:val="none" w:sz="0" w:space="0" w:color="auto"/>
      </w:divBdr>
    </w:div>
    <w:div w:id="1558316813">
      <w:bodyDiv w:val="1"/>
      <w:marLeft w:val="0"/>
      <w:marRight w:val="0"/>
      <w:marTop w:val="0"/>
      <w:marBottom w:val="0"/>
      <w:divBdr>
        <w:top w:val="none" w:sz="0" w:space="0" w:color="auto"/>
        <w:left w:val="none" w:sz="0" w:space="0" w:color="auto"/>
        <w:bottom w:val="none" w:sz="0" w:space="0" w:color="auto"/>
        <w:right w:val="none" w:sz="0" w:space="0" w:color="auto"/>
      </w:divBdr>
    </w:div>
    <w:div w:id="1587033894">
      <w:bodyDiv w:val="1"/>
      <w:marLeft w:val="0"/>
      <w:marRight w:val="0"/>
      <w:marTop w:val="0"/>
      <w:marBottom w:val="0"/>
      <w:divBdr>
        <w:top w:val="none" w:sz="0" w:space="0" w:color="auto"/>
        <w:left w:val="none" w:sz="0" w:space="0" w:color="auto"/>
        <w:bottom w:val="none" w:sz="0" w:space="0" w:color="auto"/>
        <w:right w:val="none" w:sz="0" w:space="0" w:color="auto"/>
      </w:divBdr>
    </w:div>
    <w:div w:id="1614165581">
      <w:bodyDiv w:val="1"/>
      <w:marLeft w:val="0"/>
      <w:marRight w:val="0"/>
      <w:marTop w:val="0"/>
      <w:marBottom w:val="0"/>
      <w:divBdr>
        <w:top w:val="none" w:sz="0" w:space="0" w:color="auto"/>
        <w:left w:val="none" w:sz="0" w:space="0" w:color="auto"/>
        <w:bottom w:val="none" w:sz="0" w:space="0" w:color="auto"/>
        <w:right w:val="none" w:sz="0" w:space="0" w:color="auto"/>
      </w:divBdr>
    </w:div>
    <w:div w:id="1637445296">
      <w:bodyDiv w:val="1"/>
      <w:marLeft w:val="0"/>
      <w:marRight w:val="0"/>
      <w:marTop w:val="0"/>
      <w:marBottom w:val="0"/>
      <w:divBdr>
        <w:top w:val="none" w:sz="0" w:space="0" w:color="auto"/>
        <w:left w:val="none" w:sz="0" w:space="0" w:color="auto"/>
        <w:bottom w:val="none" w:sz="0" w:space="0" w:color="auto"/>
        <w:right w:val="none" w:sz="0" w:space="0" w:color="auto"/>
      </w:divBdr>
    </w:div>
    <w:div w:id="1657879517">
      <w:bodyDiv w:val="1"/>
      <w:marLeft w:val="0"/>
      <w:marRight w:val="0"/>
      <w:marTop w:val="0"/>
      <w:marBottom w:val="0"/>
      <w:divBdr>
        <w:top w:val="none" w:sz="0" w:space="0" w:color="auto"/>
        <w:left w:val="none" w:sz="0" w:space="0" w:color="auto"/>
        <w:bottom w:val="none" w:sz="0" w:space="0" w:color="auto"/>
        <w:right w:val="none" w:sz="0" w:space="0" w:color="auto"/>
      </w:divBdr>
    </w:div>
    <w:div w:id="1661350803">
      <w:bodyDiv w:val="1"/>
      <w:marLeft w:val="0"/>
      <w:marRight w:val="0"/>
      <w:marTop w:val="0"/>
      <w:marBottom w:val="0"/>
      <w:divBdr>
        <w:top w:val="none" w:sz="0" w:space="0" w:color="auto"/>
        <w:left w:val="none" w:sz="0" w:space="0" w:color="auto"/>
        <w:bottom w:val="none" w:sz="0" w:space="0" w:color="auto"/>
        <w:right w:val="none" w:sz="0" w:space="0" w:color="auto"/>
      </w:divBdr>
    </w:div>
    <w:div w:id="1688365922">
      <w:bodyDiv w:val="1"/>
      <w:marLeft w:val="0"/>
      <w:marRight w:val="0"/>
      <w:marTop w:val="0"/>
      <w:marBottom w:val="0"/>
      <w:divBdr>
        <w:top w:val="none" w:sz="0" w:space="0" w:color="auto"/>
        <w:left w:val="none" w:sz="0" w:space="0" w:color="auto"/>
        <w:bottom w:val="none" w:sz="0" w:space="0" w:color="auto"/>
        <w:right w:val="none" w:sz="0" w:space="0" w:color="auto"/>
      </w:divBdr>
    </w:div>
    <w:div w:id="1696925692">
      <w:bodyDiv w:val="1"/>
      <w:marLeft w:val="0"/>
      <w:marRight w:val="0"/>
      <w:marTop w:val="0"/>
      <w:marBottom w:val="0"/>
      <w:divBdr>
        <w:top w:val="none" w:sz="0" w:space="0" w:color="auto"/>
        <w:left w:val="none" w:sz="0" w:space="0" w:color="auto"/>
        <w:bottom w:val="none" w:sz="0" w:space="0" w:color="auto"/>
        <w:right w:val="none" w:sz="0" w:space="0" w:color="auto"/>
      </w:divBdr>
    </w:div>
    <w:div w:id="1699043211">
      <w:bodyDiv w:val="1"/>
      <w:marLeft w:val="0"/>
      <w:marRight w:val="0"/>
      <w:marTop w:val="0"/>
      <w:marBottom w:val="0"/>
      <w:divBdr>
        <w:top w:val="none" w:sz="0" w:space="0" w:color="auto"/>
        <w:left w:val="none" w:sz="0" w:space="0" w:color="auto"/>
        <w:bottom w:val="none" w:sz="0" w:space="0" w:color="auto"/>
        <w:right w:val="none" w:sz="0" w:space="0" w:color="auto"/>
      </w:divBdr>
    </w:div>
    <w:div w:id="1700470048">
      <w:bodyDiv w:val="1"/>
      <w:marLeft w:val="0"/>
      <w:marRight w:val="0"/>
      <w:marTop w:val="0"/>
      <w:marBottom w:val="0"/>
      <w:divBdr>
        <w:top w:val="none" w:sz="0" w:space="0" w:color="auto"/>
        <w:left w:val="none" w:sz="0" w:space="0" w:color="auto"/>
        <w:bottom w:val="none" w:sz="0" w:space="0" w:color="auto"/>
        <w:right w:val="none" w:sz="0" w:space="0" w:color="auto"/>
      </w:divBdr>
    </w:div>
    <w:div w:id="1704164451">
      <w:bodyDiv w:val="1"/>
      <w:marLeft w:val="0"/>
      <w:marRight w:val="0"/>
      <w:marTop w:val="0"/>
      <w:marBottom w:val="0"/>
      <w:divBdr>
        <w:top w:val="none" w:sz="0" w:space="0" w:color="auto"/>
        <w:left w:val="none" w:sz="0" w:space="0" w:color="auto"/>
        <w:bottom w:val="none" w:sz="0" w:space="0" w:color="auto"/>
        <w:right w:val="none" w:sz="0" w:space="0" w:color="auto"/>
      </w:divBdr>
    </w:div>
    <w:div w:id="1721201215">
      <w:bodyDiv w:val="1"/>
      <w:marLeft w:val="0"/>
      <w:marRight w:val="0"/>
      <w:marTop w:val="0"/>
      <w:marBottom w:val="0"/>
      <w:divBdr>
        <w:top w:val="none" w:sz="0" w:space="0" w:color="auto"/>
        <w:left w:val="none" w:sz="0" w:space="0" w:color="auto"/>
        <w:bottom w:val="none" w:sz="0" w:space="0" w:color="auto"/>
        <w:right w:val="none" w:sz="0" w:space="0" w:color="auto"/>
      </w:divBdr>
    </w:div>
    <w:div w:id="1742408999">
      <w:bodyDiv w:val="1"/>
      <w:marLeft w:val="0"/>
      <w:marRight w:val="0"/>
      <w:marTop w:val="0"/>
      <w:marBottom w:val="0"/>
      <w:divBdr>
        <w:top w:val="none" w:sz="0" w:space="0" w:color="auto"/>
        <w:left w:val="none" w:sz="0" w:space="0" w:color="auto"/>
        <w:bottom w:val="none" w:sz="0" w:space="0" w:color="auto"/>
        <w:right w:val="none" w:sz="0" w:space="0" w:color="auto"/>
      </w:divBdr>
    </w:div>
    <w:div w:id="1744176827">
      <w:bodyDiv w:val="1"/>
      <w:marLeft w:val="0"/>
      <w:marRight w:val="0"/>
      <w:marTop w:val="0"/>
      <w:marBottom w:val="0"/>
      <w:divBdr>
        <w:top w:val="none" w:sz="0" w:space="0" w:color="auto"/>
        <w:left w:val="none" w:sz="0" w:space="0" w:color="auto"/>
        <w:bottom w:val="none" w:sz="0" w:space="0" w:color="auto"/>
        <w:right w:val="none" w:sz="0" w:space="0" w:color="auto"/>
      </w:divBdr>
    </w:div>
    <w:div w:id="1747800403">
      <w:bodyDiv w:val="1"/>
      <w:marLeft w:val="0"/>
      <w:marRight w:val="0"/>
      <w:marTop w:val="0"/>
      <w:marBottom w:val="0"/>
      <w:divBdr>
        <w:top w:val="none" w:sz="0" w:space="0" w:color="auto"/>
        <w:left w:val="none" w:sz="0" w:space="0" w:color="auto"/>
        <w:bottom w:val="none" w:sz="0" w:space="0" w:color="auto"/>
        <w:right w:val="none" w:sz="0" w:space="0" w:color="auto"/>
      </w:divBdr>
    </w:div>
    <w:div w:id="1755397170">
      <w:bodyDiv w:val="1"/>
      <w:marLeft w:val="0"/>
      <w:marRight w:val="0"/>
      <w:marTop w:val="0"/>
      <w:marBottom w:val="0"/>
      <w:divBdr>
        <w:top w:val="none" w:sz="0" w:space="0" w:color="auto"/>
        <w:left w:val="none" w:sz="0" w:space="0" w:color="auto"/>
        <w:bottom w:val="none" w:sz="0" w:space="0" w:color="auto"/>
        <w:right w:val="none" w:sz="0" w:space="0" w:color="auto"/>
      </w:divBdr>
    </w:div>
    <w:div w:id="1757020221">
      <w:bodyDiv w:val="1"/>
      <w:marLeft w:val="0"/>
      <w:marRight w:val="0"/>
      <w:marTop w:val="0"/>
      <w:marBottom w:val="0"/>
      <w:divBdr>
        <w:top w:val="none" w:sz="0" w:space="0" w:color="auto"/>
        <w:left w:val="none" w:sz="0" w:space="0" w:color="auto"/>
        <w:bottom w:val="none" w:sz="0" w:space="0" w:color="auto"/>
        <w:right w:val="none" w:sz="0" w:space="0" w:color="auto"/>
      </w:divBdr>
    </w:div>
    <w:div w:id="1771046713">
      <w:bodyDiv w:val="1"/>
      <w:marLeft w:val="0"/>
      <w:marRight w:val="0"/>
      <w:marTop w:val="0"/>
      <w:marBottom w:val="0"/>
      <w:divBdr>
        <w:top w:val="none" w:sz="0" w:space="0" w:color="auto"/>
        <w:left w:val="none" w:sz="0" w:space="0" w:color="auto"/>
        <w:bottom w:val="none" w:sz="0" w:space="0" w:color="auto"/>
        <w:right w:val="none" w:sz="0" w:space="0" w:color="auto"/>
      </w:divBdr>
    </w:div>
    <w:div w:id="1774786729">
      <w:bodyDiv w:val="1"/>
      <w:marLeft w:val="0"/>
      <w:marRight w:val="0"/>
      <w:marTop w:val="0"/>
      <w:marBottom w:val="0"/>
      <w:divBdr>
        <w:top w:val="none" w:sz="0" w:space="0" w:color="auto"/>
        <w:left w:val="none" w:sz="0" w:space="0" w:color="auto"/>
        <w:bottom w:val="none" w:sz="0" w:space="0" w:color="auto"/>
        <w:right w:val="none" w:sz="0" w:space="0" w:color="auto"/>
      </w:divBdr>
    </w:div>
    <w:div w:id="1815947459">
      <w:bodyDiv w:val="1"/>
      <w:marLeft w:val="0"/>
      <w:marRight w:val="0"/>
      <w:marTop w:val="0"/>
      <w:marBottom w:val="0"/>
      <w:divBdr>
        <w:top w:val="none" w:sz="0" w:space="0" w:color="auto"/>
        <w:left w:val="none" w:sz="0" w:space="0" w:color="auto"/>
        <w:bottom w:val="none" w:sz="0" w:space="0" w:color="auto"/>
        <w:right w:val="none" w:sz="0" w:space="0" w:color="auto"/>
      </w:divBdr>
    </w:div>
    <w:div w:id="1867019877">
      <w:bodyDiv w:val="1"/>
      <w:marLeft w:val="0"/>
      <w:marRight w:val="0"/>
      <w:marTop w:val="0"/>
      <w:marBottom w:val="0"/>
      <w:divBdr>
        <w:top w:val="none" w:sz="0" w:space="0" w:color="auto"/>
        <w:left w:val="none" w:sz="0" w:space="0" w:color="auto"/>
        <w:bottom w:val="none" w:sz="0" w:space="0" w:color="auto"/>
        <w:right w:val="none" w:sz="0" w:space="0" w:color="auto"/>
      </w:divBdr>
    </w:div>
    <w:div w:id="1905991975">
      <w:bodyDiv w:val="1"/>
      <w:marLeft w:val="0"/>
      <w:marRight w:val="0"/>
      <w:marTop w:val="0"/>
      <w:marBottom w:val="0"/>
      <w:divBdr>
        <w:top w:val="none" w:sz="0" w:space="0" w:color="auto"/>
        <w:left w:val="none" w:sz="0" w:space="0" w:color="auto"/>
        <w:bottom w:val="none" w:sz="0" w:space="0" w:color="auto"/>
        <w:right w:val="none" w:sz="0" w:space="0" w:color="auto"/>
      </w:divBdr>
    </w:div>
    <w:div w:id="1911843707">
      <w:bodyDiv w:val="1"/>
      <w:marLeft w:val="0"/>
      <w:marRight w:val="0"/>
      <w:marTop w:val="0"/>
      <w:marBottom w:val="0"/>
      <w:divBdr>
        <w:top w:val="none" w:sz="0" w:space="0" w:color="auto"/>
        <w:left w:val="none" w:sz="0" w:space="0" w:color="auto"/>
        <w:bottom w:val="none" w:sz="0" w:space="0" w:color="auto"/>
        <w:right w:val="none" w:sz="0" w:space="0" w:color="auto"/>
      </w:divBdr>
    </w:div>
    <w:div w:id="1912344361">
      <w:bodyDiv w:val="1"/>
      <w:marLeft w:val="0"/>
      <w:marRight w:val="0"/>
      <w:marTop w:val="0"/>
      <w:marBottom w:val="0"/>
      <w:divBdr>
        <w:top w:val="none" w:sz="0" w:space="0" w:color="auto"/>
        <w:left w:val="none" w:sz="0" w:space="0" w:color="auto"/>
        <w:bottom w:val="none" w:sz="0" w:space="0" w:color="auto"/>
        <w:right w:val="none" w:sz="0" w:space="0" w:color="auto"/>
      </w:divBdr>
    </w:div>
    <w:div w:id="1914386952">
      <w:bodyDiv w:val="1"/>
      <w:marLeft w:val="0"/>
      <w:marRight w:val="0"/>
      <w:marTop w:val="0"/>
      <w:marBottom w:val="0"/>
      <w:divBdr>
        <w:top w:val="none" w:sz="0" w:space="0" w:color="auto"/>
        <w:left w:val="none" w:sz="0" w:space="0" w:color="auto"/>
        <w:bottom w:val="none" w:sz="0" w:space="0" w:color="auto"/>
        <w:right w:val="none" w:sz="0" w:space="0" w:color="auto"/>
      </w:divBdr>
    </w:div>
    <w:div w:id="1940290256">
      <w:bodyDiv w:val="1"/>
      <w:marLeft w:val="0"/>
      <w:marRight w:val="0"/>
      <w:marTop w:val="0"/>
      <w:marBottom w:val="0"/>
      <w:divBdr>
        <w:top w:val="none" w:sz="0" w:space="0" w:color="auto"/>
        <w:left w:val="none" w:sz="0" w:space="0" w:color="auto"/>
        <w:bottom w:val="none" w:sz="0" w:space="0" w:color="auto"/>
        <w:right w:val="none" w:sz="0" w:space="0" w:color="auto"/>
      </w:divBdr>
      <w:divsChild>
        <w:div w:id="18709893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0077987">
              <w:marLeft w:val="0"/>
              <w:marRight w:val="0"/>
              <w:marTop w:val="0"/>
              <w:marBottom w:val="0"/>
              <w:divBdr>
                <w:top w:val="none" w:sz="0" w:space="0" w:color="auto"/>
                <w:left w:val="none" w:sz="0" w:space="0" w:color="auto"/>
                <w:bottom w:val="none" w:sz="0" w:space="0" w:color="auto"/>
                <w:right w:val="none" w:sz="0" w:space="0" w:color="auto"/>
              </w:divBdr>
              <w:divsChild>
                <w:div w:id="1151170812">
                  <w:marLeft w:val="0"/>
                  <w:marRight w:val="0"/>
                  <w:marTop w:val="0"/>
                  <w:marBottom w:val="0"/>
                  <w:divBdr>
                    <w:top w:val="none" w:sz="0" w:space="0" w:color="auto"/>
                    <w:left w:val="none" w:sz="0" w:space="0" w:color="auto"/>
                    <w:bottom w:val="none" w:sz="0" w:space="0" w:color="auto"/>
                    <w:right w:val="none" w:sz="0" w:space="0" w:color="auto"/>
                  </w:divBdr>
                </w:div>
                <w:div w:id="342434815">
                  <w:marLeft w:val="0"/>
                  <w:marRight w:val="0"/>
                  <w:marTop w:val="0"/>
                  <w:marBottom w:val="0"/>
                  <w:divBdr>
                    <w:top w:val="none" w:sz="0" w:space="0" w:color="auto"/>
                    <w:left w:val="none" w:sz="0" w:space="0" w:color="auto"/>
                    <w:bottom w:val="none" w:sz="0" w:space="0" w:color="auto"/>
                    <w:right w:val="none" w:sz="0" w:space="0" w:color="auto"/>
                  </w:divBdr>
                </w:div>
                <w:div w:id="175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8481">
          <w:marLeft w:val="0"/>
          <w:marRight w:val="0"/>
          <w:marTop w:val="0"/>
          <w:marBottom w:val="0"/>
          <w:divBdr>
            <w:top w:val="none" w:sz="0" w:space="0" w:color="auto"/>
            <w:left w:val="none" w:sz="0" w:space="0" w:color="auto"/>
            <w:bottom w:val="none" w:sz="0" w:space="0" w:color="auto"/>
            <w:right w:val="none" w:sz="0" w:space="0" w:color="auto"/>
          </w:divBdr>
        </w:div>
        <w:div w:id="473564253">
          <w:marLeft w:val="0"/>
          <w:marRight w:val="0"/>
          <w:marTop w:val="0"/>
          <w:marBottom w:val="0"/>
          <w:divBdr>
            <w:top w:val="none" w:sz="0" w:space="0" w:color="auto"/>
            <w:left w:val="none" w:sz="0" w:space="0" w:color="auto"/>
            <w:bottom w:val="none" w:sz="0" w:space="0" w:color="auto"/>
            <w:right w:val="none" w:sz="0" w:space="0" w:color="auto"/>
          </w:divBdr>
        </w:div>
      </w:divsChild>
    </w:div>
    <w:div w:id="2069498624">
      <w:bodyDiv w:val="1"/>
      <w:marLeft w:val="0"/>
      <w:marRight w:val="0"/>
      <w:marTop w:val="0"/>
      <w:marBottom w:val="0"/>
      <w:divBdr>
        <w:top w:val="none" w:sz="0" w:space="0" w:color="auto"/>
        <w:left w:val="none" w:sz="0" w:space="0" w:color="auto"/>
        <w:bottom w:val="none" w:sz="0" w:space="0" w:color="auto"/>
        <w:right w:val="none" w:sz="0" w:space="0" w:color="auto"/>
      </w:divBdr>
    </w:div>
    <w:div w:id="2080400844">
      <w:bodyDiv w:val="1"/>
      <w:marLeft w:val="0"/>
      <w:marRight w:val="0"/>
      <w:marTop w:val="0"/>
      <w:marBottom w:val="0"/>
      <w:divBdr>
        <w:top w:val="none" w:sz="0" w:space="0" w:color="auto"/>
        <w:left w:val="none" w:sz="0" w:space="0" w:color="auto"/>
        <w:bottom w:val="none" w:sz="0" w:space="0" w:color="auto"/>
        <w:right w:val="none" w:sz="0" w:space="0" w:color="auto"/>
      </w:divBdr>
    </w:div>
    <w:div w:id="2090538170">
      <w:bodyDiv w:val="1"/>
      <w:marLeft w:val="0"/>
      <w:marRight w:val="0"/>
      <w:marTop w:val="0"/>
      <w:marBottom w:val="0"/>
      <w:divBdr>
        <w:top w:val="none" w:sz="0" w:space="0" w:color="auto"/>
        <w:left w:val="none" w:sz="0" w:space="0" w:color="auto"/>
        <w:bottom w:val="none" w:sz="0" w:space="0" w:color="auto"/>
        <w:right w:val="none" w:sz="0" w:space="0" w:color="auto"/>
      </w:divBdr>
      <w:divsChild>
        <w:div w:id="1718550925">
          <w:marLeft w:val="691"/>
          <w:marRight w:val="0"/>
          <w:marTop w:val="0"/>
          <w:marBottom w:val="0"/>
          <w:divBdr>
            <w:top w:val="none" w:sz="0" w:space="0" w:color="auto"/>
            <w:left w:val="none" w:sz="0" w:space="0" w:color="auto"/>
            <w:bottom w:val="none" w:sz="0" w:space="0" w:color="auto"/>
            <w:right w:val="none" w:sz="0" w:space="0" w:color="auto"/>
          </w:divBdr>
        </w:div>
      </w:divsChild>
    </w:div>
    <w:div w:id="2107966923">
      <w:bodyDiv w:val="1"/>
      <w:marLeft w:val="0"/>
      <w:marRight w:val="0"/>
      <w:marTop w:val="0"/>
      <w:marBottom w:val="0"/>
      <w:divBdr>
        <w:top w:val="none" w:sz="0" w:space="0" w:color="auto"/>
        <w:left w:val="none" w:sz="0" w:space="0" w:color="auto"/>
        <w:bottom w:val="none" w:sz="0" w:space="0" w:color="auto"/>
        <w:right w:val="none" w:sz="0" w:space="0" w:color="auto"/>
      </w:divBdr>
    </w:div>
    <w:div w:id="2132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607AD-22EB-48DE-AFE2-D84A2253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norazah-elias</dc:creator>
  <cp:lastModifiedBy>Mohammad Nazri bin Ab Rahim</cp:lastModifiedBy>
  <cp:revision>2</cp:revision>
  <cp:lastPrinted>2015-02-26T04:52:00Z</cp:lastPrinted>
  <dcterms:created xsi:type="dcterms:W3CDTF">2015-02-26T06:40:00Z</dcterms:created>
  <dcterms:modified xsi:type="dcterms:W3CDTF">2015-02-26T06:40:00Z</dcterms:modified>
</cp:coreProperties>
</file>